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912FFDE"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62DFD9DC" w14:textId="77777777" w:rsidR="00C35609"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It outlines our pupil premium strategy, how we intend to spend the funding in this academic year and the effect that last year’s spending of pupil premium had within our school. </w:t>
      </w:r>
    </w:p>
    <w:p w14:paraId="2A7D54B4" w14:textId="13D1636C" w:rsidR="00E66558" w:rsidRPr="00C35609" w:rsidRDefault="009D71E8">
      <w:pPr>
        <w:pStyle w:val="Heading2"/>
        <w:rPr>
          <w:b w:val="0"/>
          <w:bCs/>
          <w:color w:val="auto"/>
          <w:sz w:val="24"/>
          <w:szCs w:val="24"/>
        </w:rPr>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3FA14A7" w:rsidR="00E66558" w:rsidRPr="00A50F03" w:rsidRDefault="00C105C0">
            <w:pPr>
              <w:pStyle w:val="TableRow"/>
              <w:rPr>
                <w:color w:val="auto"/>
              </w:rPr>
            </w:pPr>
            <w:r>
              <w:rPr>
                <w:color w:val="auto"/>
              </w:rPr>
              <w:t>Fir Vale School</w:t>
            </w:r>
          </w:p>
        </w:tc>
      </w:tr>
      <w:tr w:rsidR="00E66558" w14:paraId="2A7D54BD"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578208D" w:rsidR="00E66558" w:rsidRPr="00A50F03" w:rsidRDefault="006C23F7">
            <w:pPr>
              <w:pStyle w:val="TableRow"/>
              <w:rPr>
                <w:color w:val="auto"/>
              </w:rPr>
            </w:pPr>
            <w:r>
              <w:rPr>
                <w:color w:val="auto"/>
              </w:rPr>
              <w:t>1027</w:t>
            </w:r>
          </w:p>
        </w:tc>
      </w:tr>
      <w:tr w:rsidR="00E66558" w14:paraId="2A7D54C0"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28F2062" w:rsidR="00E66558" w:rsidRPr="00A50F03" w:rsidRDefault="006C23F7">
            <w:pPr>
              <w:pStyle w:val="TableRow"/>
              <w:rPr>
                <w:color w:val="auto"/>
              </w:rPr>
            </w:pPr>
            <w:r>
              <w:rPr>
                <w:color w:val="auto"/>
              </w:rPr>
              <w:t>59.49%</w:t>
            </w:r>
          </w:p>
        </w:tc>
      </w:tr>
      <w:tr w:rsidR="00E66558" w14:paraId="2A7D54C3"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7B75" w14:textId="128E9B5C" w:rsidR="008A2142" w:rsidRPr="00A50F03" w:rsidRDefault="00C716C5">
            <w:pPr>
              <w:pStyle w:val="TableRow"/>
              <w:rPr>
                <w:color w:val="auto"/>
              </w:rPr>
            </w:pPr>
            <w:r w:rsidRPr="00A50F03">
              <w:rPr>
                <w:color w:val="auto"/>
              </w:rPr>
              <w:t>2021</w:t>
            </w:r>
            <w:r w:rsidR="00D16F3C" w:rsidRPr="00A50F03">
              <w:rPr>
                <w:color w:val="auto"/>
              </w:rPr>
              <w:t>/</w:t>
            </w:r>
            <w:r w:rsidR="00075641" w:rsidRPr="00A50F03">
              <w:rPr>
                <w:color w:val="auto"/>
              </w:rPr>
              <w:t xml:space="preserve">2022 </w:t>
            </w:r>
          </w:p>
          <w:p w14:paraId="2A7D54C2" w14:textId="6021994C" w:rsidR="00E66558" w:rsidRPr="00A50F03" w:rsidRDefault="00075641">
            <w:pPr>
              <w:pStyle w:val="TableRow"/>
              <w:rPr>
                <w:color w:val="auto"/>
              </w:rPr>
            </w:pPr>
            <w:r w:rsidRPr="00A50F03">
              <w:rPr>
                <w:color w:val="auto"/>
              </w:rPr>
              <w:t xml:space="preserve">to </w:t>
            </w:r>
            <w:r w:rsidR="00C716C5" w:rsidRPr="00A50F03">
              <w:rPr>
                <w:color w:val="auto"/>
              </w:rPr>
              <w:t>2024</w:t>
            </w:r>
            <w:r w:rsidR="00D16F3C" w:rsidRPr="00A50F03">
              <w:rPr>
                <w:color w:val="auto"/>
              </w:rPr>
              <w:t>/</w:t>
            </w:r>
            <w:r w:rsidRPr="00A50F03">
              <w:rPr>
                <w:color w:val="auto"/>
              </w:rPr>
              <w:t>2025</w:t>
            </w:r>
          </w:p>
        </w:tc>
      </w:tr>
      <w:tr w:rsidR="00E66558" w14:paraId="2A7D54C6"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98EA138" w:rsidR="00E66558" w:rsidRPr="00A50F03" w:rsidRDefault="00833B17">
            <w:pPr>
              <w:pStyle w:val="TableRow"/>
              <w:rPr>
                <w:color w:val="auto"/>
              </w:rPr>
            </w:pPr>
            <w:r w:rsidRPr="00A50F03">
              <w:rPr>
                <w:color w:val="auto"/>
              </w:rPr>
              <w:t>Dec</w:t>
            </w:r>
            <w:r w:rsidR="006C23F7">
              <w:rPr>
                <w:color w:val="auto"/>
              </w:rPr>
              <w:t>ember 2022</w:t>
            </w:r>
          </w:p>
        </w:tc>
      </w:tr>
      <w:tr w:rsidR="00E66558" w14:paraId="2A7D54C9"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AB12007" w:rsidR="00E66558" w:rsidRPr="00A50F03" w:rsidRDefault="006C23F7">
            <w:pPr>
              <w:pStyle w:val="TableRow"/>
              <w:rPr>
                <w:color w:val="auto"/>
              </w:rPr>
            </w:pPr>
            <w:r>
              <w:rPr>
                <w:color w:val="auto"/>
              </w:rPr>
              <w:t>July 2023</w:t>
            </w:r>
          </w:p>
        </w:tc>
      </w:tr>
      <w:tr w:rsidR="00E66558" w14:paraId="2A7D54CC"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0A7E6D" w:rsidR="00E66558" w:rsidRPr="00A50F03" w:rsidRDefault="0001350D" w:rsidP="0001350D">
            <w:pPr>
              <w:pStyle w:val="TableRow"/>
              <w:rPr>
                <w:color w:val="auto"/>
              </w:rPr>
            </w:pPr>
            <w:r>
              <w:rPr>
                <w:color w:val="auto"/>
              </w:rPr>
              <w:t>Rachel Smith</w:t>
            </w:r>
            <w:r w:rsidR="005B7C34" w:rsidRPr="00A50F03">
              <w:rPr>
                <w:color w:val="auto"/>
              </w:rPr>
              <w:t xml:space="preserve"> </w:t>
            </w:r>
            <w:r w:rsidR="00C716C5" w:rsidRPr="00A50F03">
              <w:rPr>
                <w:color w:val="auto"/>
              </w:rPr>
              <w:t>Headteacher</w:t>
            </w:r>
          </w:p>
        </w:tc>
      </w:tr>
      <w:tr w:rsidR="00E66558" w14:paraId="2A7D54CF"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38E0E0F" w:rsidR="00E66558" w:rsidRPr="00A50F03" w:rsidRDefault="0001350D" w:rsidP="0001350D">
            <w:pPr>
              <w:pStyle w:val="TableRow"/>
              <w:rPr>
                <w:color w:val="auto"/>
              </w:rPr>
            </w:pPr>
            <w:r>
              <w:rPr>
                <w:color w:val="auto"/>
              </w:rPr>
              <w:t>Kieran Dobrowolski</w:t>
            </w:r>
            <w:r w:rsidR="00950A64" w:rsidRPr="00A50F03">
              <w:rPr>
                <w:color w:val="auto"/>
              </w:rPr>
              <w:t xml:space="preserve">, </w:t>
            </w:r>
            <w:r>
              <w:rPr>
                <w:color w:val="auto"/>
              </w:rPr>
              <w:t>Assistant</w:t>
            </w:r>
            <w:r w:rsidR="00950A64" w:rsidRPr="00A50F03">
              <w:rPr>
                <w:color w:val="auto"/>
              </w:rPr>
              <w:t xml:space="preserve"> Headteacher</w:t>
            </w:r>
          </w:p>
        </w:tc>
      </w:tr>
      <w:tr w:rsidR="00E66558" w14:paraId="2A7D54D2"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B213BB" w:rsidR="00E66558" w:rsidRPr="00A50F03" w:rsidRDefault="0001350D" w:rsidP="0001350D">
            <w:pPr>
              <w:pStyle w:val="TableRow"/>
              <w:rPr>
                <w:color w:val="auto"/>
              </w:rPr>
            </w:pPr>
            <w:r>
              <w:rPr>
                <w:color w:val="auto"/>
              </w:rPr>
              <w:t>Richard Edwards</w:t>
            </w:r>
            <w:r w:rsidR="0037703F" w:rsidRPr="00A50F03">
              <w:rPr>
                <w:color w:val="auto"/>
              </w:rPr>
              <w:t xml:space="preserve">, Vice Chair of </w:t>
            </w:r>
            <w:r>
              <w:rPr>
                <w:color w:val="auto"/>
              </w:rPr>
              <w:t>Governing B</w:t>
            </w:r>
            <w:r w:rsidR="001B1829" w:rsidRPr="00A50F03">
              <w:rPr>
                <w:color w:val="auto"/>
              </w:rPr>
              <w:t>o</w:t>
            </w:r>
            <w:r>
              <w:rPr>
                <w:color w:val="auto"/>
              </w:rPr>
              <w:t>dy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374"/>
        <w:gridCol w:w="3112"/>
      </w:tblGrid>
      <w:tr w:rsidR="00E66558" w14:paraId="2A7D54D6"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CBDEA7E" w:rsidR="00E66558" w:rsidRPr="00A50F03" w:rsidRDefault="00E82DFA" w:rsidP="0001350D">
            <w:pPr>
              <w:pStyle w:val="TableRow"/>
              <w:rPr>
                <w:color w:val="auto"/>
              </w:rPr>
            </w:pPr>
            <w:r>
              <w:rPr>
                <w:color w:val="auto"/>
              </w:rPr>
              <w:t>£626,460</w:t>
            </w:r>
          </w:p>
        </w:tc>
      </w:tr>
      <w:tr w:rsidR="00E66558" w14:paraId="2A7D54DC"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45207B2" w:rsidR="00E66558" w:rsidRPr="00A50F03" w:rsidRDefault="00E82DFA" w:rsidP="0001350D">
            <w:pPr>
              <w:pStyle w:val="TableRow"/>
              <w:rPr>
                <w:color w:val="auto"/>
              </w:rPr>
            </w:pPr>
            <w:r>
              <w:rPr>
                <w:color w:val="auto"/>
              </w:rPr>
              <w:t>£175,356</w:t>
            </w:r>
          </w:p>
        </w:tc>
      </w:tr>
      <w:tr w:rsidR="00E66558" w14:paraId="2A7D54DF"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0E2AE76" w:rsidR="00E66558" w:rsidRPr="00A50F03" w:rsidRDefault="00E82DFA" w:rsidP="0001350D">
            <w:pPr>
              <w:pStyle w:val="TableRow"/>
              <w:rPr>
                <w:color w:val="auto"/>
              </w:rPr>
            </w:pPr>
            <w:r>
              <w:rPr>
                <w:color w:val="auto"/>
              </w:rPr>
              <w:t>£0</w:t>
            </w:r>
          </w:p>
        </w:tc>
      </w:tr>
      <w:tr w:rsidR="00E66558" w14:paraId="2A7D54E3" w14:textId="77777777" w:rsidTr="00713FC9">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DB43550" w:rsidR="00E66558" w:rsidRPr="00A50F03" w:rsidRDefault="00E82DFA" w:rsidP="0001350D">
            <w:pPr>
              <w:pStyle w:val="TableRow"/>
              <w:rPr>
                <w:color w:val="auto"/>
              </w:rPr>
            </w:pPr>
            <w:r>
              <w:rPr>
                <w:color w:val="auto"/>
              </w:rPr>
              <w:t>£801,816</w:t>
            </w:r>
          </w:p>
        </w:tc>
      </w:tr>
    </w:tbl>
    <w:p w14:paraId="2A7D54E5" w14:textId="481B598D" w:rsidR="00E66558" w:rsidRDefault="009D71E8" w:rsidP="00C35609">
      <w:pPr>
        <w:pStyle w:val="Heading1"/>
      </w:pPr>
      <w:r>
        <w:lastRenderedPageBreak/>
        <w:t xml:space="preserve">Part A: Pupil premium </w:t>
      </w:r>
      <w:bookmarkStart w:id="14" w:name="_Toc357771640"/>
      <w:bookmarkStart w:id="15" w:name="_Toc346793418"/>
      <w:r w:rsidR="00001015">
        <w:t>- S</w:t>
      </w:r>
      <w:r>
        <w:t>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73C65" w14:textId="77777777" w:rsidR="0093017F" w:rsidRDefault="0093017F" w:rsidP="0093017F">
            <w:pPr>
              <w:suppressAutoHyphens w:val="0"/>
              <w:autoSpaceDN/>
              <w:ind w:left="360"/>
              <w:jc w:val="both"/>
              <w:rPr>
                <w:rFonts w:cs="Arial"/>
                <w:iCs/>
                <w:color w:val="auto"/>
              </w:rPr>
            </w:pPr>
          </w:p>
          <w:p w14:paraId="45C24D80" w14:textId="7FA197BD" w:rsidR="0021418C" w:rsidRPr="00845475" w:rsidRDefault="0021418C" w:rsidP="00E82DFA">
            <w:pPr>
              <w:suppressAutoHyphens w:val="0"/>
              <w:autoSpaceDN/>
              <w:ind w:left="22"/>
              <w:jc w:val="both"/>
              <w:rPr>
                <w:rFonts w:cs="Arial"/>
                <w:iCs/>
                <w:color w:val="0070C0"/>
                <w:lang w:val="en-US"/>
              </w:rPr>
            </w:pPr>
            <w:r>
              <w:rPr>
                <w:rFonts w:cs="Arial"/>
                <w:iCs/>
                <w:color w:val="auto"/>
              </w:rPr>
              <w:t xml:space="preserve">At Fir Vale Academy Trust, it is our aim to provide students from all socio-economic backgrounds with the tools to lead successful lives when they leave us. This includes giving them the opportunity to achieve well academically, but also prioritising their personal development and ability to access learning through reading. </w:t>
            </w:r>
            <w:r w:rsidR="006C23F7">
              <w:rPr>
                <w:rFonts w:cs="Arial"/>
                <w:iCs/>
                <w:color w:val="auto"/>
              </w:rPr>
              <w:t>In September 2022</w:t>
            </w:r>
            <w:r w:rsidRPr="004D6E0A">
              <w:rPr>
                <w:rFonts w:cs="Arial"/>
                <w:iCs/>
                <w:color w:val="auto"/>
              </w:rPr>
              <w:t xml:space="preserve">, </w:t>
            </w:r>
            <w:r w:rsidR="004D6E0A" w:rsidRPr="004D6E0A">
              <w:rPr>
                <w:rFonts w:cs="Arial"/>
                <w:iCs/>
                <w:color w:val="auto"/>
              </w:rPr>
              <w:t>68%</w:t>
            </w:r>
            <w:r w:rsidRPr="004D6E0A">
              <w:rPr>
                <w:rFonts w:cs="Arial"/>
                <w:iCs/>
                <w:color w:val="auto"/>
              </w:rPr>
              <w:t xml:space="preserve"> </w:t>
            </w:r>
            <w:r w:rsidRPr="00845475">
              <w:rPr>
                <w:rFonts w:cs="Arial"/>
                <w:iCs/>
                <w:color w:val="auto"/>
              </w:rPr>
              <w:t xml:space="preserve">of students in KS3 had reading ages lower than </w:t>
            </w:r>
            <w:r w:rsidR="004D6E0A">
              <w:rPr>
                <w:rFonts w:cs="Arial"/>
                <w:iCs/>
                <w:color w:val="auto"/>
              </w:rPr>
              <w:t>11 years old,</w:t>
            </w:r>
            <w:r w:rsidRPr="00845475">
              <w:rPr>
                <w:rFonts w:cs="Arial"/>
                <w:iCs/>
                <w:color w:val="auto"/>
              </w:rPr>
              <w:t xml:space="preserve"> and a signific</w:t>
            </w:r>
            <w:r>
              <w:rPr>
                <w:rFonts w:cs="Arial"/>
                <w:iCs/>
                <w:color w:val="auto"/>
              </w:rPr>
              <w:t>ant number below 5 years of age. T</w:t>
            </w:r>
            <w:r w:rsidRPr="00845475">
              <w:rPr>
                <w:rFonts w:cs="Arial"/>
                <w:iCs/>
                <w:color w:val="auto"/>
              </w:rPr>
              <w:t xml:space="preserve">he school </w:t>
            </w:r>
            <w:r>
              <w:rPr>
                <w:rFonts w:cs="Arial"/>
                <w:iCs/>
                <w:color w:val="auto"/>
              </w:rPr>
              <w:t xml:space="preserve">also </w:t>
            </w:r>
            <w:r w:rsidRPr="00845475">
              <w:rPr>
                <w:rFonts w:cs="Arial"/>
                <w:iCs/>
                <w:color w:val="auto"/>
              </w:rPr>
              <w:t>has a significant number of students new to the cou</w:t>
            </w:r>
            <w:r w:rsidR="00E65799">
              <w:rPr>
                <w:rFonts w:cs="Arial"/>
                <w:iCs/>
                <w:color w:val="auto"/>
              </w:rPr>
              <w:t>ntry with little or no English.</w:t>
            </w:r>
            <w:r w:rsidR="00E70F33">
              <w:rPr>
                <w:rFonts w:cs="Arial"/>
                <w:iCs/>
                <w:color w:val="auto"/>
              </w:rPr>
              <w:t xml:space="preserve"> </w:t>
            </w:r>
          </w:p>
          <w:p w14:paraId="4A2403A9" w14:textId="150B6913" w:rsidR="0021418C" w:rsidRPr="0093017F" w:rsidRDefault="0021418C" w:rsidP="00E82DFA">
            <w:pPr>
              <w:suppressAutoHyphens w:val="0"/>
              <w:autoSpaceDN/>
              <w:ind w:left="22"/>
              <w:jc w:val="both"/>
              <w:rPr>
                <w:rFonts w:cs="Arial"/>
                <w:iCs/>
                <w:color w:val="0070C0"/>
                <w:lang w:val="en-US"/>
              </w:rPr>
            </w:pPr>
            <w:r w:rsidRPr="0093017F">
              <w:rPr>
                <w:rFonts w:cs="Arial"/>
                <w:iCs/>
                <w:color w:val="auto"/>
              </w:rPr>
              <w:t>We have a</w:t>
            </w:r>
            <w:r w:rsidR="00E65799" w:rsidRPr="0093017F">
              <w:rPr>
                <w:rFonts w:cs="Arial"/>
                <w:iCs/>
                <w:color w:val="auto"/>
              </w:rPr>
              <w:t xml:space="preserve">n </w:t>
            </w:r>
            <w:r w:rsidR="003479B9" w:rsidRPr="0093017F">
              <w:rPr>
                <w:rFonts w:cs="Arial"/>
                <w:iCs/>
                <w:color w:val="auto"/>
              </w:rPr>
              <w:t>extremely</w:t>
            </w:r>
            <w:r w:rsidRPr="0093017F">
              <w:rPr>
                <w:rFonts w:cs="Arial"/>
                <w:iCs/>
                <w:color w:val="auto"/>
              </w:rPr>
              <w:t xml:space="preserve"> diverse cohort that includes large and varied ethnic groups, and this means we tailor our approach to helping them make progress accordingly. </w:t>
            </w:r>
            <w:r w:rsidR="003479B9" w:rsidRPr="0093017F">
              <w:rPr>
                <w:rFonts w:cs="Arial"/>
                <w:iCs/>
                <w:color w:val="auto"/>
              </w:rPr>
              <w:t>Our</w:t>
            </w:r>
            <w:r w:rsidR="00E70F33" w:rsidRPr="0093017F">
              <w:rPr>
                <w:rFonts w:cs="Arial"/>
                <w:iCs/>
                <w:color w:val="auto"/>
              </w:rPr>
              <w:t xml:space="preserve"> school is unique, and the social/cultural make-up of our students demands careful planning and consideration. </w:t>
            </w:r>
            <w:r w:rsidRPr="0093017F">
              <w:rPr>
                <w:rFonts w:cs="Arial"/>
                <w:iCs/>
                <w:color w:val="auto"/>
              </w:rPr>
              <w:t xml:space="preserve">The strategies we implement are designed to help all students become </w:t>
            </w:r>
            <w:r w:rsidR="00E65799" w:rsidRPr="0093017F">
              <w:rPr>
                <w:rFonts w:cs="Arial"/>
                <w:iCs/>
                <w:color w:val="auto"/>
              </w:rPr>
              <w:t xml:space="preserve">socially cohesive, </w:t>
            </w:r>
            <w:r w:rsidRPr="0093017F">
              <w:rPr>
                <w:rFonts w:cs="Arial"/>
                <w:iCs/>
                <w:color w:val="auto"/>
              </w:rPr>
              <w:t xml:space="preserve">well-rounded people, as well as successful learners. </w:t>
            </w:r>
          </w:p>
          <w:p w14:paraId="62AD5444" w14:textId="77777777" w:rsidR="0021418C" w:rsidRPr="0093017F" w:rsidRDefault="0021418C" w:rsidP="00E82DFA">
            <w:pPr>
              <w:suppressAutoHyphens w:val="0"/>
              <w:autoSpaceDN/>
              <w:ind w:left="22"/>
              <w:jc w:val="both"/>
              <w:rPr>
                <w:rFonts w:cs="Arial"/>
                <w:iCs/>
                <w:color w:val="auto"/>
              </w:rPr>
            </w:pPr>
            <w:r w:rsidRPr="0093017F">
              <w:rPr>
                <w:rFonts w:cs="Arial"/>
                <w:iCs/>
                <w:color w:val="auto"/>
              </w:rPr>
              <w:t xml:space="preserve">We have prioritised curriculum changes, and invested in adapting what we do for students in a way that gives them new learning experiences whilst increasing their ‘cultural capital’. We have also acknowledged the need to create more bespoke learning routes for our most disadvantaged students, in order to improve literacy across not only that cohort, but also the whole school. </w:t>
            </w:r>
          </w:p>
          <w:p w14:paraId="2E86A7CB" w14:textId="2C326B33" w:rsidR="0021418C" w:rsidRPr="0093017F" w:rsidRDefault="0021418C" w:rsidP="00E82DFA">
            <w:pPr>
              <w:suppressAutoHyphens w:val="0"/>
              <w:autoSpaceDN/>
              <w:ind w:left="22"/>
              <w:jc w:val="both"/>
              <w:rPr>
                <w:rFonts w:cs="Arial"/>
                <w:iCs/>
                <w:color w:val="auto"/>
              </w:rPr>
            </w:pPr>
            <w:r w:rsidRPr="0093017F">
              <w:rPr>
                <w:rFonts w:cs="Arial"/>
                <w:iCs/>
                <w:color w:val="auto"/>
              </w:rPr>
              <w:t>We appreciate the need for our students to build aspirations outside of their local community, and have a better understanding of the opportunities that are avail</w:t>
            </w:r>
            <w:r w:rsidR="0093017F">
              <w:rPr>
                <w:rFonts w:cs="Arial"/>
                <w:iCs/>
                <w:color w:val="auto"/>
              </w:rPr>
              <w:t>able to them. Lockdown/Covid</w:t>
            </w:r>
            <w:r w:rsidRPr="0093017F">
              <w:rPr>
                <w:rFonts w:cs="Arial"/>
                <w:iCs/>
                <w:color w:val="auto"/>
              </w:rPr>
              <w:t xml:space="preserve"> hit students and families experiencing deprivation much h</w:t>
            </w:r>
            <w:r w:rsidR="0093017F" w:rsidRPr="0093017F">
              <w:rPr>
                <w:rFonts w:cs="Arial"/>
                <w:iCs/>
                <w:color w:val="auto"/>
              </w:rPr>
              <w:t>arder than their counterparts</w:t>
            </w:r>
            <w:r w:rsidRPr="0093017F">
              <w:rPr>
                <w:rFonts w:cs="Arial"/>
                <w:iCs/>
                <w:color w:val="auto"/>
              </w:rPr>
              <w:t xml:space="preserve">, and we </w:t>
            </w:r>
            <w:r w:rsidR="003479B9" w:rsidRPr="0093017F">
              <w:rPr>
                <w:rFonts w:cs="Arial"/>
                <w:iCs/>
                <w:color w:val="auto"/>
              </w:rPr>
              <w:t xml:space="preserve">have addressed this need accordingly. </w:t>
            </w:r>
            <w:r w:rsidRPr="0093017F">
              <w:rPr>
                <w:rFonts w:cs="Arial"/>
                <w:iCs/>
                <w:color w:val="auto"/>
              </w:rPr>
              <w:t xml:space="preserve">  </w:t>
            </w:r>
          </w:p>
          <w:p w14:paraId="7EDFF095" w14:textId="07B2C8A3" w:rsidR="0021418C" w:rsidRPr="0093017F" w:rsidRDefault="0021418C" w:rsidP="00E82DFA">
            <w:pPr>
              <w:suppressAutoHyphens w:val="0"/>
              <w:autoSpaceDN/>
              <w:ind w:left="22"/>
              <w:jc w:val="both"/>
              <w:rPr>
                <w:rFonts w:cs="Arial"/>
                <w:iCs/>
                <w:color w:val="auto"/>
              </w:rPr>
            </w:pPr>
            <w:r w:rsidRPr="0093017F">
              <w:rPr>
                <w:rFonts w:cs="Arial"/>
                <w:iCs/>
                <w:color w:val="auto"/>
              </w:rPr>
              <w:t>Our strategies around being Trauma Informed’, multiple literacy strategies and our staff student ratios are working, and we are committed to rele</w:t>
            </w:r>
            <w:r w:rsidR="00E65799" w:rsidRPr="0093017F">
              <w:rPr>
                <w:rFonts w:cs="Arial"/>
                <w:iCs/>
                <w:color w:val="auto"/>
              </w:rPr>
              <w:t>ntlessly driving these forward.</w:t>
            </w:r>
            <w:r w:rsidRPr="0093017F">
              <w:rPr>
                <w:rFonts w:cs="Arial"/>
                <w:iCs/>
                <w:color w:val="auto"/>
              </w:rPr>
              <w:t xml:space="preserve"> </w:t>
            </w:r>
          </w:p>
          <w:p w14:paraId="2A7D54E9" w14:textId="31F9586E" w:rsidR="005F328D" w:rsidRPr="005F328D" w:rsidRDefault="005F328D" w:rsidP="00001015">
            <w:pPr>
              <w:suppressAutoHyphens w:val="0"/>
              <w:autoSpaceDN/>
              <w:ind w:left="306"/>
              <w:rPr>
                <w:rFonts w:cs="Arial"/>
                <w:iCs/>
                <w:color w:val="auto"/>
              </w:rPr>
            </w:pPr>
          </w:p>
        </w:tc>
      </w:tr>
    </w:tbl>
    <w:p w14:paraId="59844F57" w14:textId="3B94FD0E" w:rsidR="0093017F" w:rsidRDefault="0093017F">
      <w:pPr>
        <w:pStyle w:val="Heading2"/>
        <w:spacing w:before="600"/>
      </w:pPr>
    </w:p>
    <w:p w14:paraId="5DBCCB70" w14:textId="77777777" w:rsidR="00E82DFA" w:rsidRPr="00E82DFA" w:rsidRDefault="00E82DFA" w:rsidP="00E82DFA"/>
    <w:p w14:paraId="4C07723E" w14:textId="77777777" w:rsidR="00E82DFA" w:rsidRDefault="00E82DFA">
      <w:pPr>
        <w:pStyle w:val="Heading2"/>
        <w:spacing w:before="600"/>
      </w:pPr>
    </w:p>
    <w:p w14:paraId="2A7D54EB" w14:textId="1668C2D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55"/>
        <w:gridCol w:w="7931"/>
      </w:tblGrid>
      <w:tr w:rsidR="00E66558" w14:paraId="2A7D54EF"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9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5"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98BDBC9" w:rsidR="00E66558" w:rsidRDefault="000D4202">
            <w:pPr>
              <w:pStyle w:val="TableRow"/>
              <w:rPr>
                <w:sz w:val="22"/>
                <w:szCs w:val="22"/>
              </w:rPr>
            </w:pPr>
            <w:r>
              <w:rPr>
                <w:sz w:val="22"/>
                <w:szCs w:val="22"/>
              </w:rPr>
              <w:t>1</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A722" w14:textId="354D2E7F" w:rsidR="006C3CB1" w:rsidRDefault="00D11C8C" w:rsidP="006D0A1F">
            <w:pPr>
              <w:suppressAutoHyphens w:val="0"/>
              <w:autoSpaceDN/>
              <w:spacing w:before="60" w:after="120" w:line="240" w:lineRule="auto"/>
              <w:ind w:left="57" w:right="57"/>
              <w:rPr>
                <w:iCs/>
                <w:color w:val="auto"/>
                <w:lang w:val="en-US"/>
              </w:rPr>
            </w:pPr>
            <w:r>
              <w:rPr>
                <w:iCs/>
                <w:color w:val="auto"/>
                <w:lang w:val="en-US"/>
              </w:rPr>
              <w:t xml:space="preserve">The literacy levels, and reading ages of our disadvantaged students are significantly lower than that of their peers, as seen from NGRT </w:t>
            </w:r>
            <w:r w:rsidR="00E41F75">
              <w:rPr>
                <w:iCs/>
                <w:color w:val="auto"/>
                <w:lang w:val="en-US"/>
              </w:rPr>
              <w:t xml:space="preserve">tests </w:t>
            </w:r>
            <w:r w:rsidR="001F1584">
              <w:rPr>
                <w:iCs/>
                <w:color w:val="auto"/>
                <w:lang w:val="en-US"/>
              </w:rPr>
              <w:t>d</w:t>
            </w:r>
            <w:r w:rsidR="00E41F75">
              <w:rPr>
                <w:iCs/>
                <w:color w:val="auto"/>
                <w:lang w:val="en-US"/>
              </w:rPr>
              <w:t xml:space="preserve">one throughout the year. </w:t>
            </w:r>
            <w:r w:rsidR="005B0F92">
              <w:rPr>
                <w:iCs/>
                <w:color w:val="auto"/>
                <w:lang w:val="en-US"/>
              </w:rPr>
              <w:t>The reading ages of our Y7 &amp; 8 students in particular</w:t>
            </w:r>
            <w:r w:rsidR="001F1584">
              <w:rPr>
                <w:iCs/>
                <w:color w:val="auto"/>
                <w:lang w:val="en-US"/>
              </w:rPr>
              <w:t xml:space="preserve">, are lower than their chronological age. </w:t>
            </w:r>
          </w:p>
          <w:p w14:paraId="2A7D54F4" w14:textId="0AE50231" w:rsidR="00BC17B2" w:rsidRPr="00A50F03" w:rsidRDefault="00C708E8" w:rsidP="00C708E8">
            <w:pPr>
              <w:suppressAutoHyphens w:val="0"/>
              <w:autoSpaceDN/>
              <w:spacing w:before="60" w:after="120" w:line="240" w:lineRule="auto"/>
              <w:ind w:right="57"/>
              <w:rPr>
                <w:iCs/>
                <w:color w:val="auto"/>
                <w:lang w:val="en-US"/>
              </w:rPr>
            </w:pPr>
            <w:r>
              <w:rPr>
                <w:iCs/>
                <w:color w:val="auto"/>
                <w:lang w:val="en-US"/>
              </w:rPr>
              <w:t>A high proportion</w:t>
            </w:r>
            <w:r w:rsidR="00B77611">
              <w:rPr>
                <w:iCs/>
                <w:color w:val="auto"/>
                <w:lang w:val="en-US"/>
              </w:rPr>
              <w:t xml:space="preserve"> of our disadvantaged students use English as an additional language, and school closures have meant their use of English has been reduced. </w:t>
            </w:r>
          </w:p>
        </w:tc>
      </w:tr>
      <w:tr w:rsidR="00E66558" w14:paraId="2A7D54F8"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F235414" w:rsidR="00E66558" w:rsidRDefault="000D4202">
            <w:pPr>
              <w:pStyle w:val="TableRow"/>
              <w:rPr>
                <w:sz w:val="22"/>
                <w:szCs w:val="22"/>
              </w:rPr>
            </w:pPr>
            <w:r>
              <w:rPr>
                <w:sz w:val="22"/>
                <w:szCs w:val="22"/>
              </w:rPr>
              <w:t>2</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6E33E5F" w:rsidR="00081E73" w:rsidRPr="00A50F03" w:rsidRDefault="005F328D" w:rsidP="00C708E8">
            <w:pPr>
              <w:suppressAutoHyphens w:val="0"/>
              <w:autoSpaceDN/>
              <w:spacing w:before="60" w:after="120" w:line="240" w:lineRule="auto"/>
              <w:ind w:left="35" w:right="57"/>
              <w:rPr>
                <w:color w:val="auto"/>
              </w:rPr>
            </w:pPr>
            <w:r>
              <w:rPr>
                <w:color w:val="auto"/>
              </w:rPr>
              <w:t>The number of disadvantaged students that have SEND</w:t>
            </w:r>
            <w:r w:rsidR="006C3CB1">
              <w:rPr>
                <w:color w:val="auto"/>
              </w:rPr>
              <w:t xml:space="preserve"> </w:t>
            </w:r>
            <w:r>
              <w:rPr>
                <w:color w:val="auto"/>
              </w:rPr>
              <w:t>is grea</w:t>
            </w:r>
            <w:r w:rsidR="005B0F92">
              <w:rPr>
                <w:color w:val="auto"/>
              </w:rPr>
              <w:t xml:space="preserve">ter in relation to their peers, </w:t>
            </w:r>
            <w:r w:rsidR="00F300FE">
              <w:rPr>
                <w:color w:val="auto"/>
              </w:rPr>
              <w:t xml:space="preserve">and the complexity of need has created a need for smaller class sizes, or more bespoke learning journeys. </w:t>
            </w:r>
          </w:p>
        </w:tc>
      </w:tr>
      <w:tr w:rsidR="00A70A4F" w14:paraId="2A7D54FB"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B45C372" w:rsidR="00A70A4F" w:rsidRDefault="000D4202" w:rsidP="00A70A4F">
            <w:pPr>
              <w:pStyle w:val="TableRow"/>
              <w:rPr>
                <w:sz w:val="22"/>
                <w:szCs w:val="22"/>
              </w:rPr>
            </w:pPr>
            <w:r>
              <w:rPr>
                <w:sz w:val="22"/>
                <w:szCs w:val="22"/>
              </w:rPr>
              <w:t>3</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FA" w14:textId="2C0A4EB7" w:rsidR="00A10E1E" w:rsidRPr="00A50F03" w:rsidRDefault="00E41F75" w:rsidP="001F1584">
            <w:pPr>
              <w:suppressAutoHyphens w:val="0"/>
              <w:autoSpaceDN/>
              <w:spacing w:before="120" w:after="120" w:line="240" w:lineRule="auto"/>
              <w:ind w:left="35" w:right="57"/>
              <w:rPr>
                <w:rFonts w:cs="Arial"/>
                <w:color w:val="auto"/>
              </w:rPr>
            </w:pPr>
            <w:r>
              <w:rPr>
                <w:rFonts w:cs="Arial"/>
                <w:color w:val="auto"/>
              </w:rPr>
              <w:t>It is</w:t>
            </w:r>
            <w:r w:rsidR="001F1584">
              <w:rPr>
                <w:rFonts w:cs="Arial"/>
                <w:color w:val="auto"/>
              </w:rPr>
              <w:t xml:space="preserve"> widely</w:t>
            </w:r>
            <w:r>
              <w:rPr>
                <w:rFonts w:cs="Arial"/>
                <w:color w:val="auto"/>
              </w:rPr>
              <w:t xml:space="preserve"> acknowledged that students from disadvantaged backgrounds have been impacted by partial school closures </w:t>
            </w:r>
            <w:r w:rsidR="001F1584">
              <w:rPr>
                <w:rFonts w:cs="Arial"/>
                <w:color w:val="auto"/>
              </w:rPr>
              <w:t>to a greater</w:t>
            </w:r>
            <w:r w:rsidR="005B0F92">
              <w:rPr>
                <w:rFonts w:cs="Arial"/>
                <w:color w:val="auto"/>
              </w:rPr>
              <w:t xml:space="preserve"> extent</w:t>
            </w:r>
            <w:r>
              <w:rPr>
                <w:rFonts w:cs="Arial"/>
                <w:color w:val="auto"/>
              </w:rPr>
              <w:t xml:space="preserve"> than other students, and in our </w:t>
            </w:r>
            <w:r w:rsidR="005B0F92">
              <w:rPr>
                <w:rFonts w:cs="Arial"/>
                <w:color w:val="auto"/>
              </w:rPr>
              <w:t>context,</w:t>
            </w:r>
            <w:r>
              <w:rPr>
                <w:rFonts w:cs="Arial"/>
                <w:color w:val="auto"/>
              </w:rPr>
              <w:t xml:space="preserve"> this has created a need to improve social cohesion</w:t>
            </w:r>
            <w:r w:rsidR="005B0F92">
              <w:rPr>
                <w:rFonts w:cs="Arial"/>
                <w:color w:val="auto"/>
              </w:rPr>
              <w:t>, and invest in the cultu</w:t>
            </w:r>
            <w:r w:rsidR="00B77611">
              <w:rPr>
                <w:rFonts w:cs="Arial"/>
                <w:color w:val="auto"/>
              </w:rPr>
              <w:t xml:space="preserve">ral capital of those students. </w:t>
            </w:r>
          </w:p>
        </w:tc>
      </w:tr>
      <w:tr w:rsidR="000D4202" w14:paraId="68EA550E"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13FB" w14:textId="3E67EE91" w:rsidR="000D4202" w:rsidRDefault="000D4202" w:rsidP="00A70A4F">
            <w:pPr>
              <w:pStyle w:val="TableRow"/>
              <w:rPr>
                <w:sz w:val="22"/>
                <w:szCs w:val="22"/>
              </w:rPr>
            </w:pPr>
            <w:r>
              <w:rPr>
                <w:sz w:val="22"/>
                <w:szCs w:val="22"/>
              </w:rPr>
              <w:t>4</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F631E" w14:textId="5E46C5EC" w:rsidR="000D4202" w:rsidRPr="00A50F03" w:rsidRDefault="00F300FE" w:rsidP="005B0F92">
            <w:pPr>
              <w:suppressAutoHyphens w:val="0"/>
              <w:autoSpaceDN/>
              <w:spacing w:before="60" w:after="120" w:line="240" w:lineRule="auto"/>
              <w:ind w:right="57"/>
              <w:rPr>
                <w:rFonts w:cs="Arial"/>
                <w:iCs/>
                <w:color w:val="auto"/>
              </w:rPr>
            </w:pPr>
            <w:r>
              <w:rPr>
                <w:rFonts w:cs="Arial"/>
                <w:iCs/>
                <w:color w:val="auto"/>
              </w:rPr>
              <w:t xml:space="preserve">Our observations and conversations with disadvantaged students and their families have shown that they are often dealing with a range of social and emotional issues, </w:t>
            </w:r>
            <w:r w:rsidR="001F1584">
              <w:rPr>
                <w:rFonts w:cs="Arial"/>
                <w:iCs/>
                <w:color w:val="auto"/>
              </w:rPr>
              <w:t>which have also been exacerbated</w:t>
            </w:r>
            <w:r>
              <w:rPr>
                <w:rFonts w:cs="Arial"/>
                <w:iCs/>
                <w:color w:val="auto"/>
              </w:rPr>
              <w:t xml:space="preserve"> by school closures. </w:t>
            </w:r>
            <w:r w:rsidR="00C35609">
              <w:rPr>
                <w:rFonts w:cs="Arial"/>
                <w:iCs/>
                <w:color w:val="auto"/>
              </w:rPr>
              <w:t xml:space="preserve">These include anxiety, depression, low self-esteem and a general lack of engagement. </w:t>
            </w:r>
          </w:p>
        </w:tc>
      </w:tr>
      <w:tr w:rsidR="00A46A48" w14:paraId="31009EAF"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AC65C" w14:textId="694FEADE" w:rsidR="00A46A48" w:rsidRDefault="00A46A48" w:rsidP="00A70A4F">
            <w:pPr>
              <w:pStyle w:val="TableRow"/>
              <w:rPr>
                <w:sz w:val="22"/>
                <w:szCs w:val="22"/>
              </w:rPr>
            </w:pPr>
            <w:r>
              <w:rPr>
                <w:sz w:val="22"/>
                <w:szCs w:val="22"/>
              </w:rPr>
              <w:t xml:space="preserve">5. </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8722B" w14:textId="4B61F7C7" w:rsidR="00A46A48" w:rsidRDefault="00A46A48" w:rsidP="0093017F">
            <w:pPr>
              <w:suppressAutoHyphens w:val="0"/>
              <w:autoSpaceDN/>
              <w:spacing w:before="60" w:after="120" w:line="240" w:lineRule="auto"/>
              <w:ind w:right="57"/>
              <w:rPr>
                <w:rFonts w:cs="Arial"/>
                <w:iCs/>
                <w:color w:val="auto"/>
              </w:rPr>
            </w:pPr>
            <w:r>
              <w:rPr>
                <w:rFonts w:cs="Arial"/>
                <w:iCs/>
                <w:color w:val="auto"/>
              </w:rPr>
              <w:t>The attainment of our disadvantaged students is lower than that of their peers in our</w:t>
            </w:r>
            <w:r w:rsidR="0093017F">
              <w:rPr>
                <w:rFonts w:cs="Arial"/>
                <w:iCs/>
                <w:color w:val="auto"/>
              </w:rPr>
              <w:t xml:space="preserve"> last set of published results.</w:t>
            </w:r>
          </w:p>
        </w:tc>
      </w:tr>
      <w:tr w:rsidR="00953B94" w14:paraId="259B5069"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4452" w14:textId="49F0ED48" w:rsidR="00953B94" w:rsidRDefault="00953B94" w:rsidP="00A70A4F">
            <w:pPr>
              <w:pStyle w:val="TableRow"/>
              <w:rPr>
                <w:sz w:val="22"/>
                <w:szCs w:val="22"/>
              </w:rPr>
            </w:pPr>
            <w:r>
              <w:rPr>
                <w:sz w:val="22"/>
                <w:szCs w:val="22"/>
              </w:rPr>
              <w:t xml:space="preserve">6. </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9B0AA" w14:textId="3F9D0413" w:rsidR="00953B94" w:rsidRDefault="003B09CE" w:rsidP="00AF0648">
            <w:pPr>
              <w:suppressAutoHyphens w:val="0"/>
              <w:autoSpaceDN/>
              <w:spacing w:before="60" w:after="120" w:line="240" w:lineRule="auto"/>
              <w:ind w:right="57"/>
              <w:rPr>
                <w:rFonts w:cs="Arial"/>
                <w:iCs/>
                <w:color w:val="auto"/>
              </w:rPr>
            </w:pPr>
            <w:r>
              <w:rPr>
                <w:rFonts w:cs="Arial"/>
                <w:iCs/>
                <w:color w:val="auto"/>
              </w:rPr>
              <w:t xml:space="preserve">The attendance of </w:t>
            </w:r>
            <w:r w:rsidR="005E74B0">
              <w:rPr>
                <w:rFonts w:cs="Arial"/>
                <w:iCs/>
                <w:color w:val="auto"/>
              </w:rPr>
              <w:t xml:space="preserve">our disadvantaged students is </w:t>
            </w:r>
            <w:r w:rsidR="00AF0648" w:rsidRPr="00AF0648">
              <w:rPr>
                <w:rFonts w:cs="Arial"/>
                <w:iCs/>
                <w:color w:val="auto"/>
              </w:rPr>
              <w:t>85.2</w:t>
            </w:r>
            <w:r w:rsidR="005E74B0" w:rsidRPr="00AF0648">
              <w:rPr>
                <w:rFonts w:cs="Arial"/>
                <w:iCs/>
                <w:color w:val="auto"/>
              </w:rPr>
              <w:t xml:space="preserve"> </w:t>
            </w:r>
            <w:r w:rsidR="005E74B0">
              <w:rPr>
                <w:rFonts w:cs="Arial"/>
                <w:iCs/>
                <w:color w:val="auto"/>
              </w:rPr>
              <w:t xml:space="preserve">as opposed to </w:t>
            </w:r>
            <w:r w:rsidR="00AF0648" w:rsidRPr="00AF0648">
              <w:rPr>
                <w:rFonts w:cs="Arial"/>
                <w:iCs/>
                <w:color w:val="auto"/>
              </w:rPr>
              <w:t>87.7</w:t>
            </w:r>
            <w:r w:rsidR="005E74B0" w:rsidRPr="00AF0648">
              <w:rPr>
                <w:rFonts w:cs="Arial"/>
                <w:iCs/>
                <w:color w:val="auto"/>
              </w:rPr>
              <w:t xml:space="preserve"> </w:t>
            </w:r>
            <w:r w:rsidR="005E74B0">
              <w:rPr>
                <w:rFonts w:cs="Arial"/>
                <w:iCs/>
                <w:color w:val="auto"/>
              </w:rPr>
              <w:t xml:space="preserve">for their peers. </w:t>
            </w:r>
          </w:p>
        </w:tc>
      </w:tr>
    </w:tbl>
    <w:p w14:paraId="2A7D54FF" w14:textId="4101FB86" w:rsidR="00E66558" w:rsidRDefault="00A46A48">
      <w:pPr>
        <w:pStyle w:val="Heading2"/>
        <w:spacing w:before="600"/>
      </w:pPr>
      <w:bookmarkStart w:id="16" w:name="_Toc443397160"/>
      <w:r>
        <w:t xml:space="preserve"> </w:t>
      </w:r>
      <w:r w:rsidR="009D71E8">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9"/>
        <w:gridCol w:w="6797"/>
      </w:tblGrid>
      <w:tr w:rsidR="00E66558" w14:paraId="2A7D5503"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7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9B1139E" w:rsidR="001071BE" w:rsidRPr="00A50F03" w:rsidRDefault="00F65BE1" w:rsidP="007F46FE">
            <w:pPr>
              <w:pStyle w:val="TableRow"/>
              <w:spacing w:after="120"/>
              <w:rPr>
                <w:iCs/>
                <w:color w:val="auto"/>
              </w:rPr>
            </w:pPr>
            <w:r>
              <w:rPr>
                <w:iCs/>
                <w:color w:val="auto"/>
              </w:rPr>
              <w:lastRenderedPageBreak/>
              <w:t>1.</w:t>
            </w:r>
            <w:r w:rsidR="00C35609">
              <w:rPr>
                <w:iCs/>
                <w:color w:val="auto"/>
              </w:rPr>
              <w:t>Improve reading ages and literacy levels for disadvantaged students, with a long term aim of higher attainment at GCSE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49019" w14:textId="77777777" w:rsidR="00FA25F3" w:rsidRDefault="00C35609" w:rsidP="00C35609">
            <w:pPr>
              <w:suppressAutoHyphens w:val="0"/>
              <w:autoSpaceDN/>
              <w:spacing w:before="60" w:after="120" w:line="240" w:lineRule="auto"/>
              <w:ind w:right="57"/>
              <w:rPr>
                <w:color w:val="auto"/>
              </w:rPr>
            </w:pPr>
            <w:r>
              <w:rPr>
                <w:color w:val="auto"/>
              </w:rPr>
              <w:t xml:space="preserve">In year reading tests to show improved reading ages, and a greater number of students at KS3 with a reading age within 6 months of their actual age. </w:t>
            </w:r>
          </w:p>
          <w:p w14:paraId="2A7D5505" w14:textId="31C872FA" w:rsidR="00F65BE1" w:rsidRPr="00C35609" w:rsidRDefault="00F65BE1" w:rsidP="00C35609">
            <w:pPr>
              <w:suppressAutoHyphens w:val="0"/>
              <w:autoSpaceDN/>
              <w:spacing w:before="60" w:after="120" w:line="240" w:lineRule="auto"/>
              <w:ind w:right="57"/>
              <w:rPr>
                <w:color w:val="auto"/>
              </w:rPr>
            </w:pPr>
          </w:p>
        </w:tc>
      </w:tr>
      <w:tr w:rsidR="00E66558" w14:paraId="2A7D550C" w14:textId="77777777" w:rsidTr="00EC4B9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D74E" w14:textId="7DA749F0" w:rsidR="00E66558" w:rsidRDefault="001F1584" w:rsidP="00C35609">
            <w:pPr>
              <w:pStyle w:val="TableRow"/>
              <w:rPr>
                <w:color w:val="auto"/>
              </w:rPr>
            </w:pPr>
            <w:r>
              <w:rPr>
                <w:color w:val="auto"/>
              </w:rPr>
              <w:t>2. SEND</w:t>
            </w:r>
            <w:r w:rsidR="00C66454">
              <w:rPr>
                <w:color w:val="auto"/>
              </w:rPr>
              <w:t xml:space="preserve"> students from disadvantaged backgrounds to engage more actively in their learning and enjoy a more suitable learning experience.</w:t>
            </w:r>
          </w:p>
          <w:p w14:paraId="2A7D550A" w14:textId="0ACF2030" w:rsidR="00C66454" w:rsidRPr="00A50F03" w:rsidRDefault="00C66454" w:rsidP="00B77611">
            <w:pPr>
              <w:pStyle w:val="TableRow"/>
              <w:ind w:left="0"/>
              <w:rPr>
                <w:color w:val="auto"/>
              </w:rPr>
            </w:pP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31230" w14:textId="17ACB165" w:rsidR="00C33223" w:rsidRDefault="00F20958" w:rsidP="00DB4EDB">
            <w:pPr>
              <w:suppressAutoHyphens w:val="0"/>
              <w:autoSpaceDN/>
              <w:spacing w:before="60" w:after="120" w:line="240" w:lineRule="auto"/>
              <w:ind w:left="29" w:right="57"/>
              <w:rPr>
                <w:color w:val="auto"/>
              </w:rPr>
            </w:pPr>
            <w:r>
              <w:rPr>
                <w:color w:val="auto"/>
              </w:rPr>
              <w:t>Improved Attitude to Learning</w:t>
            </w:r>
            <w:r w:rsidR="00C66454">
              <w:rPr>
                <w:color w:val="auto"/>
              </w:rPr>
              <w:t xml:space="preserve"> scores for disadvantaged students with SEND, and a narrowing in the gap between the attainment of Y11 disadvantaged students with SEND and their peers. </w:t>
            </w:r>
          </w:p>
          <w:p w14:paraId="3387DCC3" w14:textId="77777777" w:rsidR="000664D6" w:rsidRDefault="000664D6" w:rsidP="00DB4EDB">
            <w:pPr>
              <w:suppressAutoHyphens w:val="0"/>
              <w:autoSpaceDN/>
              <w:spacing w:before="60" w:after="120" w:line="240" w:lineRule="auto"/>
              <w:ind w:left="29" w:right="57"/>
              <w:rPr>
                <w:color w:val="auto"/>
              </w:rPr>
            </w:pPr>
            <w:r>
              <w:rPr>
                <w:color w:val="auto"/>
              </w:rPr>
              <w:t xml:space="preserve">An increase in disadvantaged students with SEND receiving recognition for positive contributions and good engagement with learning. </w:t>
            </w:r>
          </w:p>
          <w:p w14:paraId="2A7D550B" w14:textId="5B17D6FE" w:rsidR="000664D6" w:rsidRPr="00A50F03" w:rsidRDefault="000664D6" w:rsidP="00DB4EDB">
            <w:pPr>
              <w:suppressAutoHyphens w:val="0"/>
              <w:autoSpaceDN/>
              <w:spacing w:before="60" w:after="120" w:line="240" w:lineRule="auto"/>
              <w:ind w:left="29" w:right="57"/>
              <w:rPr>
                <w:color w:val="auto"/>
              </w:rPr>
            </w:pPr>
          </w:p>
        </w:tc>
      </w:tr>
      <w:tr w:rsidR="00227C1A" w14:paraId="0CCD5163" w14:textId="77777777" w:rsidTr="003943E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6D632" w14:textId="26E5C70E" w:rsidR="00227C1A" w:rsidRPr="00A50F03" w:rsidRDefault="00F65BE1" w:rsidP="00C66454">
            <w:pPr>
              <w:pStyle w:val="TableRow"/>
              <w:spacing w:after="120"/>
              <w:rPr>
                <w:color w:val="auto"/>
              </w:rPr>
            </w:pPr>
            <w:r>
              <w:rPr>
                <w:color w:val="auto"/>
              </w:rPr>
              <w:t xml:space="preserve">3. </w:t>
            </w:r>
            <w:r w:rsidR="00C66454">
              <w:rPr>
                <w:color w:val="auto"/>
              </w:rPr>
              <w:t xml:space="preserve">Improved social cohesion across school, a wider range of activities and experiences offered.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78E4D" w14:textId="77777777" w:rsidR="00227C1A" w:rsidRDefault="00C66454" w:rsidP="00DB4EDB">
            <w:pPr>
              <w:suppressAutoHyphens w:val="0"/>
              <w:autoSpaceDN/>
              <w:spacing w:before="60" w:after="120" w:line="240" w:lineRule="auto"/>
              <w:ind w:left="29" w:right="57"/>
              <w:rPr>
                <w:color w:val="auto"/>
              </w:rPr>
            </w:pPr>
            <w:r>
              <w:rPr>
                <w:color w:val="auto"/>
              </w:rPr>
              <w:t xml:space="preserve">Increased participation in extracurricular activities for disadvantaged students, and qualitative data including student voice and teacher observations of cultural mixing. </w:t>
            </w:r>
          </w:p>
          <w:p w14:paraId="5C142B48" w14:textId="2BF59598" w:rsidR="00C66454" w:rsidRPr="00A50F03" w:rsidRDefault="00F20958" w:rsidP="00DB4EDB">
            <w:pPr>
              <w:suppressAutoHyphens w:val="0"/>
              <w:autoSpaceDN/>
              <w:spacing w:before="60" w:after="120" w:line="240" w:lineRule="auto"/>
              <w:ind w:left="29" w:right="57"/>
              <w:rPr>
                <w:color w:val="auto"/>
              </w:rPr>
            </w:pPr>
            <w:r>
              <w:rPr>
                <w:color w:val="auto"/>
              </w:rPr>
              <w:t>A reduction in referrals/exclusions for interracial aggression.</w:t>
            </w:r>
          </w:p>
        </w:tc>
      </w:tr>
      <w:tr w:rsidR="000664D6" w14:paraId="109840F5" w14:textId="77777777" w:rsidTr="003943E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81DC" w14:textId="6989B912" w:rsidR="000664D6" w:rsidRDefault="001F1584" w:rsidP="000664D6">
            <w:pPr>
              <w:pStyle w:val="TableRow"/>
              <w:spacing w:after="120"/>
              <w:ind w:left="0"/>
              <w:rPr>
                <w:color w:val="auto"/>
              </w:rPr>
            </w:pPr>
            <w:r>
              <w:rPr>
                <w:color w:val="auto"/>
              </w:rPr>
              <w:t>4. Improved</w:t>
            </w:r>
            <w:r w:rsidR="000664D6">
              <w:rPr>
                <w:color w:val="auto"/>
              </w:rPr>
              <w:t xml:space="preserve"> emotional wellbeing across school, including disadvantaged students.</w:t>
            </w:r>
          </w:p>
          <w:p w14:paraId="135171A2" w14:textId="5D84763B" w:rsidR="000664D6" w:rsidRDefault="000664D6" w:rsidP="00C66454">
            <w:pPr>
              <w:pStyle w:val="TableRow"/>
              <w:spacing w:after="120"/>
              <w:rPr>
                <w:color w:val="auto"/>
              </w:rPr>
            </w:pP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CBBD0" w14:textId="5822824C" w:rsidR="000664D6" w:rsidRDefault="000664D6" w:rsidP="00B77611">
            <w:pPr>
              <w:suppressAutoHyphens w:val="0"/>
              <w:autoSpaceDN/>
              <w:spacing w:before="60" w:after="120" w:line="240" w:lineRule="auto"/>
              <w:ind w:right="57"/>
              <w:rPr>
                <w:color w:val="auto"/>
              </w:rPr>
            </w:pPr>
            <w:r>
              <w:rPr>
                <w:color w:val="auto"/>
              </w:rPr>
              <w:t xml:space="preserve">An increase in disadvantaged students receiving recognition for positive contributions. </w:t>
            </w:r>
          </w:p>
          <w:p w14:paraId="368111E5" w14:textId="1C03E096" w:rsidR="000664D6" w:rsidRDefault="000664D6" w:rsidP="000664D6">
            <w:pPr>
              <w:suppressAutoHyphens w:val="0"/>
              <w:autoSpaceDN/>
              <w:spacing w:before="60" w:after="120" w:line="240" w:lineRule="auto"/>
              <w:ind w:left="29" w:right="57"/>
              <w:rPr>
                <w:color w:val="auto"/>
              </w:rPr>
            </w:pPr>
            <w:r>
              <w:rPr>
                <w:color w:val="auto"/>
              </w:rPr>
              <w:t xml:space="preserve">An improved emotional landscape for disadvantaged students, shown by teacher observations, monitoring by our internal intervention structures, and engagement with enrichment/extracurricular activities. </w:t>
            </w:r>
          </w:p>
        </w:tc>
      </w:tr>
      <w:tr w:rsidR="000664D6" w14:paraId="162BCBFC" w14:textId="77777777" w:rsidTr="003943E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5B005" w14:textId="379A26A2" w:rsidR="000664D6" w:rsidRDefault="00F65BE1" w:rsidP="00B77611">
            <w:pPr>
              <w:pStyle w:val="TableRow"/>
              <w:spacing w:after="120"/>
              <w:ind w:left="0"/>
              <w:rPr>
                <w:color w:val="auto"/>
              </w:rPr>
            </w:pPr>
            <w:r>
              <w:rPr>
                <w:color w:val="auto"/>
              </w:rPr>
              <w:t xml:space="preserve">5. </w:t>
            </w:r>
            <w:r w:rsidR="00FB319D">
              <w:rPr>
                <w:color w:val="auto"/>
              </w:rPr>
              <w:t xml:space="preserve">Improved attainment  for disadvantaged students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84DC" w14:textId="66540689" w:rsidR="000664D6" w:rsidRDefault="00FB319D" w:rsidP="00FB319D">
            <w:pPr>
              <w:suppressAutoHyphens w:val="0"/>
              <w:autoSpaceDN/>
              <w:spacing w:before="60" w:after="120" w:line="240" w:lineRule="auto"/>
              <w:ind w:right="57"/>
              <w:rPr>
                <w:color w:val="auto"/>
              </w:rPr>
            </w:pPr>
            <w:r>
              <w:rPr>
                <w:color w:val="auto"/>
              </w:rPr>
              <w:t>A reduction in the P8 gap for disadvantaged students and their peers shown in GCSE results 2022.</w:t>
            </w:r>
          </w:p>
        </w:tc>
      </w:tr>
      <w:tr w:rsidR="00B77611" w14:paraId="1CC8B546" w14:textId="77777777" w:rsidTr="003943E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5A408" w14:textId="1058D234" w:rsidR="00B77611" w:rsidRDefault="00B77611" w:rsidP="00B77611">
            <w:pPr>
              <w:pStyle w:val="TableRow"/>
              <w:spacing w:after="120"/>
              <w:ind w:left="0"/>
              <w:rPr>
                <w:color w:val="auto"/>
              </w:rPr>
            </w:pPr>
            <w:r>
              <w:rPr>
                <w:color w:val="auto"/>
              </w:rPr>
              <w:t>6. Increased attendance for PP</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8BC3" w14:textId="743665D5" w:rsidR="00B77611" w:rsidRDefault="00B77611" w:rsidP="00FB319D">
            <w:pPr>
              <w:suppressAutoHyphens w:val="0"/>
              <w:autoSpaceDN/>
              <w:spacing w:before="60" w:after="120" w:line="240" w:lineRule="auto"/>
              <w:ind w:right="57"/>
              <w:rPr>
                <w:color w:val="auto"/>
              </w:rPr>
            </w:pPr>
            <w:r>
              <w:rPr>
                <w:color w:val="auto"/>
              </w:rPr>
              <w:t xml:space="preserve">Increased attendance and punctuality for disadvantaged student </w:t>
            </w:r>
          </w:p>
        </w:tc>
      </w:tr>
    </w:tbl>
    <w:p w14:paraId="2AF639A3" w14:textId="77777777" w:rsidR="00B77611" w:rsidRDefault="00B77611" w:rsidP="00F65BE1">
      <w:pPr>
        <w:suppressAutoHyphens w:val="0"/>
        <w:spacing w:after="0" w:line="240" w:lineRule="auto"/>
      </w:pPr>
    </w:p>
    <w:p w14:paraId="68B926C1" w14:textId="77777777" w:rsidR="00B77611" w:rsidRDefault="00B77611" w:rsidP="00F65BE1">
      <w:pPr>
        <w:suppressAutoHyphens w:val="0"/>
        <w:spacing w:after="0" w:line="240" w:lineRule="auto"/>
      </w:pPr>
    </w:p>
    <w:p w14:paraId="2A7D5512" w14:textId="1856D7AD" w:rsidR="00E66558" w:rsidRPr="00F65BE1" w:rsidRDefault="009D71E8" w:rsidP="00F65BE1">
      <w:pPr>
        <w:suppressAutoHyphens w:val="0"/>
        <w:spacing w:after="0" w:line="240" w:lineRule="auto"/>
        <w:rPr>
          <w:b/>
          <w:color w:val="104F75"/>
          <w:sz w:val="32"/>
          <w:szCs w:val="32"/>
        </w:rPr>
      </w:pPr>
      <w:r>
        <w:t>Activity in this academic year</w:t>
      </w:r>
      <w:r w:rsidR="00F20958">
        <w:t>.</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rsidP="00324F1B">
      <w:pPr>
        <w:pStyle w:val="Heading3"/>
        <w:spacing w:before="480"/>
      </w:pPr>
      <w:r>
        <w:t>Teaching (for example, CPD, recruitment and retention)</w:t>
      </w:r>
    </w:p>
    <w:p w14:paraId="2A7D5515" w14:textId="18D54F24" w:rsidR="00E66558" w:rsidRDefault="009D71E8">
      <w:r>
        <w:t>Budgeted cost</w:t>
      </w:r>
    </w:p>
    <w:p w14:paraId="4A49DD63" w14:textId="1F37C9C3" w:rsidR="00E82DFA" w:rsidRDefault="00E82DFA"/>
    <w:p w14:paraId="3A440852" w14:textId="77777777" w:rsidR="00E82DFA" w:rsidRDefault="00E82DFA"/>
    <w:tbl>
      <w:tblPr>
        <w:tblW w:w="5153" w:type="pct"/>
        <w:tblLayout w:type="fixed"/>
        <w:tblCellMar>
          <w:left w:w="10" w:type="dxa"/>
          <w:right w:w="10" w:type="dxa"/>
        </w:tblCellMar>
        <w:tblLook w:val="04A0" w:firstRow="1" w:lastRow="0" w:firstColumn="1" w:lastColumn="0" w:noHBand="0" w:noVBand="1"/>
      </w:tblPr>
      <w:tblGrid>
        <w:gridCol w:w="2547"/>
        <w:gridCol w:w="4252"/>
        <w:gridCol w:w="1418"/>
        <w:gridCol w:w="1559"/>
      </w:tblGrid>
      <w:tr w:rsidR="00001015" w14:paraId="2A7D5519" w14:textId="77777777" w:rsidTr="00F618A2">
        <w:trPr>
          <w:trHeight w:val="433"/>
        </w:trPr>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001015" w:rsidRDefault="00001015">
            <w:pPr>
              <w:pStyle w:val="TableHeader"/>
              <w:jc w:val="left"/>
            </w:pPr>
            <w:r>
              <w:lastRenderedPageBreak/>
              <w:t>Activity</w:t>
            </w:r>
          </w:p>
        </w:tc>
        <w:tc>
          <w:tcPr>
            <w:tcW w:w="42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001015" w:rsidRDefault="00001015">
            <w:pPr>
              <w:pStyle w:val="TableHeader"/>
              <w:jc w:val="left"/>
            </w:pPr>
            <w:r>
              <w:t>Evidence that supports this approach</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67C2448" w14:textId="257A8FF8" w:rsidR="00001015" w:rsidRDefault="00001015" w:rsidP="00001015">
            <w:pPr>
              <w:pStyle w:val="TableHeader"/>
            </w:pPr>
            <w:r>
              <w:t>Costings</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35F9FA3" w:rsidR="00001015" w:rsidRDefault="00001015">
            <w:pPr>
              <w:pStyle w:val="TableHeader"/>
              <w:jc w:val="left"/>
            </w:pPr>
            <w:r>
              <w:t>Challenge number(s) addressed</w:t>
            </w:r>
          </w:p>
        </w:tc>
      </w:tr>
      <w:tr w:rsidR="00001015" w14:paraId="2A7D5521" w14:textId="77777777" w:rsidTr="00F618A2">
        <w:trPr>
          <w:trHeight w:val="692"/>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E3A171D" w:rsidR="00001015" w:rsidRPr="00A50F03" w:rsidRDefault="00001015" w:rsidP="00395834">
            <w:pPr>
              <w:suppressAutoHyphens w:val="0"/>
              <w:autoSpaceDN/>
              <w:spacing w:before="120" w:after="120" w:line="240" w:lineRule="auto"/>
              <w:ind w:left="29"/>
              <w:rPr>
                <w:rFonts w:cs="Arial"/>
                <w:iCs/>
                <w:color w:val="auto"/>
                <w:lang w:val="en-US" w:eastAsia="en-US"/>
              </w:rPr>
            </w:pPr>
            <w:r>
              <w:rPr>
                <w:rFonts w:cs="Arial"/>
                <w:iCs/>
                <w:color w:val="auto"/>
                <w:lang w:val="en-US" w:eastAsia="en-US"/>
              </w:rPr>
              <w:t xml:space="preserve">Investment in NGRT reading assessments across school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BDAC709" w:rsidR="00001015" w:rsidRPr="00A50F03" w:rsidRDefault="001F1584" w:rsidP="00B64BAB">
            <w:pPr>
              <w:suppressAutoHyphens w:val="0"/>
              <w:autoSpaceDN/>
              <w:spacing w:before="60" w:after="120" w:line="240" w:lineRule="auto"/>
              <w:ind w:left="57" w:right="57"/>
              <w:rPr>
                <w:color w:val="auto"/>
              </w:rPr>
            </w:pPr>
            <w:r>
              <w:rPr>
                <w:color w:val="auto"/>
              </w:rPr>
              <w:t xml:space="preserve">EEF – Improving literacy in Secondary Schools </w:t>
            </w:r>
          </w:p>
        </w:tc>
        <w:tc>
          <w:tcPr>
            <w:tcW w:w="1418" w:type="dxa"/>
            <w:tcBorders>
              <w:top w:val="single" w:sz="4" w:space="0" w:color="000000"/>
              <w:left w:val="single" w:sz="4" w:space="0" w:color="000000"/>
              <w:bottom w:val="single" w:sz="4" w:space="0" w:color="000000"/>
              <w:right w:val="single" w:sz="4" w:space="0" w:color="000000"/>
            </w:tcBorders>
          </w:tcPr>
          <w:p w14:paraId="3B5E6D78" w14:textId="1B3FB27A" w:rsidR="00001015" w:rsidRDefault="00E82DFA" w:rsidP="00E82DFA">
            <w:pPr>
              <w:pStyle w:val="TableRowCentered"/>
              <w:ind w:left="0"/>
              <w:jc w:val="left"/>
              <w:rPr>
                <w:rFonts w:cs="Arial"/>
                <w:color w:val="auto"/>
                <w:szCs w:val="24"/>
              </w:rPr>
            </w:pPr>
            <w:r>
              <w:rPr>
                <w:rFonts w:cs="Arial"/>
                <w:color w:val="auto"/>
                <w:szCs w:val="24"/>
              </w:rPr>
              <w:t>£6,000</w:t>
            </w:r>
            <w:bookmarkStart w:id="17" w:name="_GoBack"/>
            <w:bookmarkEnd w:id="17"/>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729C81D" w:rsidR="00001015" w:rsidRPr="00A50F03" w:rsidRDefault="00001015" w:rsidP="00180190">
            <w:pPr>
              <w:pStyle w:val="TableRowCentered"/>
              <w:ind w:left="0"/>
              <w:jc w:val="left"/>
              <w:rPr>
                <w:rFonts w:cs="Arial"/>
                <w:color w:val="auto"/>
                <w:szCs w:val="24"/>
              </w:rPr>
            </w:pPr>
          </w:p>
        </w:tc>
      </w:tr>
      <w:tr w:rsidR="001F1584" w14:paraId="65909CA4" w14:textId="77777777" w:rsidTr="00F618A2">
        <w:trPr>
          <w:trHeight w:val="47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39EC" w14:textId="735F6E28" w:rsidR="001F1584" w:rsidRPr="00A50F03" w:rsidRDefault="001F1584" w:rsidP="001F1584">
            <w:pPr>
              <w:pStyle w:val="TableRow"/>
              <w:spacing w:after="120"/>
              <w:ind w:left="26"/>
              <w:rPr>
                <w:rFonts w:cs="Arial"/>
                <w:color w:val="auto"/>
              </w:rPr>
            </w:pPr>
            <w:r>
              <w:rPr>
                <w:rFonts w:cs="Arial"/>
                <w:color w:val="auto"/>
              </w:rPr>
              <w:t>Flash Academy implementation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DF50" w14:textId="5F49C384" w:rsidR="001F1584" w:rsidRPr="00BA75C0" w:rsidRDefault="001F1584" w:rsidP="001F1584">
            <w:pPr>
              <w:suppressAutoHyphens w:val="0"/>
              <w:autoSpaceDN/>
              <w:spacing w:before="60" w:after="120" w:line="240" w:lineRule="auto"/>
              <w:ind w:left="33" w:right="57"/>
              <w:rPr>
                <w:color w:val="auto"/>
              </w:rPr>
            </w:pPr>
            <w:r>
              <w:rPr>
                <w:color w:val="auto"/>
              </w:rPr>
              <w:t xml:space="preserve">EEF – Improving literacy in Secondary Schools </w:t>
            </w:r>
          </w:p>
        </w:tc>
        <w:tc>
          <w:tcPr>
            <w:tcW w:w="1418" w:type="dxa"/>
            <w:tcBorders>
              <w:top w:val="single" w:sz="4" w:space="0" w:color="000000"/>
              <w:left w:val="single" w:sz="4" w:space="0" w:color="000000"/>
              <w:bottom w:val="single" w:sz="4" w:space="0" w:color="000000"/>
              <w:right w:val="single" w:sz="4" w:space="0" w:color="000000"/>
            </w:tcBorders>
          </w:tcPr>
          <w:p w14:paraId="2F96E97B" w14:textId="62BD32D0" w:rsidR="001F1584" w:rsidRDefault="00E82DFA" w:rsidP="00E82DFA">
            <w:pPr>
              <w:pStyle w:val="TableRowCentered"/>
              <w:ind w:left="0"/>
              <w:jc w:val="left"/>
              <w:rPr>
                <w:rFonts w:cs="Arial"/>
                <w:color w:val="auto"/>
                <w:szCs w:val="24"/>
              </w:rPr>
            </w:pPr>
            <w:r>
              <w:rPr>
                <w:rFonts w:cs="Arial"/>
                <w:color w:val="auto"/>
                <w:szCs w:val="24"/>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CBF7" w14:textId="1058CE3D" w:rsidR="001F1584" w:rsidRPr="00A50F03" w:rsidRDefault="001F1584" w:rsidP="001F1584">
            <w:pPr>
              <w:pStyle w:val="TableRowCentered"/>
              <w:ind w:left="0"/>
              <w:jc w:val="left"/>
              <w:rPr>
                <w:rFonts w:cs="Arial"/>
                <w:color w:val="auto"/>
                <w:szCs w:val="24"/>
              </w:rPr>
            </w:pPr>
          </w:p>
        </w:tc>
      </w:tr>
      <w:tr w:rsidR="001F1584" w14:paraId="136FC96A" w14:textId="77777777" w:rsidTr="00F618A2">
        <w:trPr>
          <w:trHeight w:val="657"/>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2E181" w14:textId="65FFE86B" w:rsidR="001F1584" w:rsidRPr="00A50F03" w:rsidRDefault="001F1584" w:rsidP="001F1584">
            <w:pPr>
              <w:pStyle w:val="TableRow"/>
              <w:spacing w:after="120"/>
              <w:rPr>
                <w:rFonts w:cs="Arial"/>
                <w:color w:val="auto"/>
              </w:rPr>
            </w:pPr>
            <w:r>
              <w:rPr>
                <w:rFonts w:cs="Arial"/>
                <w:color w:val="auto"/>
              </w:rPr>
              <w:t>Reduced class sizes for students with complex needs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D85F" w14:textId="1E22F37D" w:rsidR="001F1584" w:rsidRPr="00A50F03" w:rsidRDefault="007A08BE" w:rsidP="007A08BE">
            <w:pPr>
              <w:suppressAutoHyphens w:val="0"/>
              <w:autoSpaceDN/>
              <w:spacing w:before="60" w:after="60" w:line="240" w:lineRule="auto"/>
              <w:ind w:right="57"/>
              <w:rPr>
                <w:rFonts w:cs="Arial"/>
                <w:color w:val="auto"/>
              </w:rPr>
            </w:pPr>
            <w:r>
              <w:rPr>
                <w:rFonts w:cs="Arial"/>
                <w:color w:val="auto"/>
              </w:rPr>
              <w:t>EEF – SEN in Mainstream Schools</w:t>
            </w:r>
          </w:p>
        </w:tc>
        <w:tc>
          <w:tcPr>
            <w:tcW w:w="1418" w:type="dxa"/>
            <w:tcBorders>
              <w:top w:val="single" w:sz="4" w:space="0" w:color="000000"/>
              <w:left w:val="single" w:sz="4" w:space="0" w:color="000000"/>
              <w:bottom w:val="single" w:sz="4" w:space="0" w:color="000000"/>
              <w:right w:val="single" w:sz="4" w:space="0" w:color="000000"/>
            </w:tcBorders>
          </w:tcPr>
          <w:p w14:paraId="36265C95" w14:textId="24895AF6" w:rsidR="001F1584" w:rsidRDefault="00E82DFA" w:rsidP="00E82DFA">
            <w:pPr>
              <w:pStyle w:val="TableRowCentered"/>
              <w:ind w:left="0"/>
              <w:jc w:val="left"/>
              <w:rPr>
                <w:rFonts w:cs="Arial"/>
                <w:color w:val="auto"/>
                <w:szCs w:val="24"/>
              </w:rPr>
            </w:pPr>
            <w:r>
              <w:rPr>
                <w:rFonts w:cs="Arial"/>
                <w:color w:val="auto"/>
                <w:szCs w:val="24"/>
              </w:rPr>
              <w:t>£181,816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68B6D" w14:textId="469D6598" w:rsidR="001F1584" w:rsidRPr="00A50F03" w:rsidRDefault="001F1584" w:rsidP="001F1584">
            <w:pPr>
              <w:pStyle w:val="TableRowCentered"/>
              <w:ind w:left="0"/>
              <w:jc w:val="left"/>
              <w:rPr>
                <w:rFonts w:cs="Arial"/>
                <w:color w:val="auto"/>
                <w:szCs w:val="24"/>
              </w:rPr>
            </w:pPr>
          </w:p>
        </w:tc>
      </w:tr>
      <w:tr w:rsidR="001F1584" w14:paraId="25C6EEFE" w14:textId="77777777" w:rsidTr="00F618A2">
        <w:trPr>
          <w:trHeight w:val="832"/>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44D5" w14:textId="0B9E6769" w:rsidR="001F1584" w:rsidRDefault="001F1584" w:rsidP="001F1584">
            <w:pPr>
              <w:pStyle w:val="TableRow"/>
              <w:spacing w:after="120"/>
              <w:rPr>
                <w:rFonts w:cs="Arial"/>
                <w:color w:val="auto"/>
              </w:rPr>
            </w:pPr>
            <w:r>
              <w:rPr>
                <w:rFonts w:cs="Arial"/>
                <w:color w:val="auto"/>
              </w:rPr>
              <w:t>Increased staffing for Behaviour Support for students with complex needs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067FD" w14:textId="3537922F" w:rsidR="001F1584" w:rsidRDefault="007A08BE" w:rsidP="001F1584">
            <w:pPr>
              <w:suppressAutoHyphens w:val="0"/>
              <w:autoSpaceDN/>
              <w:spacing w:before="60" w:after="60" w:line="240" w:lineRule="auto"/>
              <w:ind w:left="57" w:right="57"/>
              <w:rPr>
                <w:rFonts w:cs="Arial"/>
                <w:color w:val="auto"/>
              </w:rPr>
            </w:pPr>
            <w:r>
              <w:rPr>
                <w:rFonts w:cs="Arial"/>
                <w:color w:val="auto"/>
              </w:rPr>
              <w:t>Trauma informed training  / research principles</w:t>
            </w:r>
          </w:p>
        </w:tc>
        <w:tc>
          <w:tcPr>
            <w:tcW w:w="1418" w:type="dxa"/>
            <w:tcBorders>
              <w:top w:val="single" w:sz="4" w:space="0" w:color="000000"/>
              <w:left w:val="single" w:sz="4" w:space="0" w:color="000000"/>
              <w:bottom w:val="single" w:sz="4" w:space="0" w:color="000000"/>
              <w:right w:val="single" w:sz="4" w:space="0" w:color="000000"/>
            </w:tcBorders>
          </w:tcPr>
          <w:p w14:paraId="2578C165" w14:textId="32523FA4" w:rsidR="001F1584" w:rsidRDefault="00E82DFA" w:rsidP="00E82DFA">
            <w:pPr>
              <w:pStyle w:val="TableRowCentered"/>
              <w:ind w:left="0"/>
              <w:jc w:val="left"/>
              <w:rPr>
                <w:rFonts w:cs="Arial"/>
                <w:color w:val="auto"/>
                <w:szCs w:val="24"/>
              </w:rPr>
            </w:pPr>
            <w:r>
              <w:rPr>
                <w:rFonts w:cs="Arial"/>
                <w:color w:val="auto"/>
                <w:szCs w:val="24"/>
              </w:rPr>
              <w:t>£295,227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208C4" w14:textId="78BA7DCB" w:rsidR="001F1584" w:rsidRDefault="001F1584" w:rsidP="001F1584">
            <w:pPr>
              <w:pStyle w:val="TableRowCentered"/>
              <w:ind w:left="0"/>
              <w:jc w:val="left"/>
              <w:rPr>
                <w:rFonts w:cs="Arial"/>
                <w:color w:val="auto"/>
                <w:szCs w:val="24"/>
              </w:rPr>
            </w:pPr>
          </w:p>
        </w:tc>
      </w:tr>
      <w:tr w:rsidR="001F1584" w14:paraId="527C5C7E" w14:textId="77777777" w:rsidTr="00F618A2">
        <w:trPr>
          <w:trHeight w:val="482"/>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D1F9D" w14:textId="41602418" w:rsidR="001F1584" w:rsidRDefault="001F1584" w:rsidP="001F1584">
            <w:pPr>
              <w:pStyle w:val="TableRow"/>
              <w:spacing w:after="120"/>
              <w:rPr>
                <w:rFonts w:cs="Arial"/>
                <w:color w:val="auto"/>
              </w:rPr>
            </w:pPr>
            <w:r>
              <w:rPr>
                <w:rFonts w:cs="Arial"/>
                <w:color w:val="auto"/>
              </w:rPr>
              <w:t xml:space="preserve">Employ / retain Roma support workers.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29F4D" w14:textId="0F679349" w:rsidR="001F1584" w:rsidRPr="00A50F03" w:rsidRDefault="007A08BE" w:rsidP="007A08BE">
            <w:pPr>
              <w:suppressAutoHyphens w:val="0"/>
              <w:autoSpaceDN/>
              <w:spacing w:before="60" w:after="60" w:line="240" w:lineRule="auto"/>
              <w:ind w:left="57" w:right="57"/>
              <w:rPr>
                <w:rFonts w:cs="Arial"/>
                <w:color w:val="auto"/>
              </w:rPr>
            </w:pPr>
            <w:r>
              <w:rPr>
                <w:rFonts w:cs="Arial"/>
                <w:color w:val="auto"/>
              </w:rPr>
              <w:t xml:space="preserve">EEF – SEN in Mainstream Schools </w:t>
            </w:r>
          </w:p>
        </w:tc>
        <w:tc>
          <w:tcPr>
            <w:tcW w:w="1418" w:type="dxa"/>
            <w:tcBorders>
              <w:top w:val="single" w:sz="4" w:space="0" w:color="000000"/>
              <w:left w:val="single" w:sz="4" w:space="0" w:color="000000"/>
              <w:bottom w:val="single" w:sz="4" w:space="0" w:color="000000"/>
              <w:right w:val="single" w:sz="4" w:space="0" w:color="000000"/>
            </w:tcBorders>
          </w:tcPr>
          <w:p w14:paraId="2973F0F2" w14:textId="5590346C" w:rsidR="001F1584" w:rsidRDefault="00E82DFA" w:rsidP="00E82DFA">
            <w:pPr>
              <w:pStyle w:val="TableRowCentered"/>
              <w:ind w:left="0"/>
              <w:jc w:val="left"/>
              <w:rPr>
                <w:rFonts w:cs="Arial"/>
                <w:color w:val="auto"/>
                <w:szCs w:val="24"/>
              </w:rPr>
            </w:pPr>
            <w:r>
              <w:rPr>
                <w:rFonts w:cs="Arial"/>
                <w:color w:val="auto"/>
                <w:szCs w:val="24"/>
              </w:rPr>
              <w:t>£44,251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641F0" w14:textId="37038F55" w:rsidR="001F1584" w:rsidRDefault="001F1584" w:rsidP="001F1584">
            <w:pPr>
              <w:pStyle w:val="TableRowCentered"/>
              <w:ind w:left="0"/>
              <w:jc w:val="left"/>
              <w:rPr>
                <w:rFonts w:cs="Arial"/>
                <w:color w:val="auto"/>
                <w:szCs w:val="24"/>
              </w:rPr>
            </w:pPr>
          </w:p>
        </w:tc>
      </w:tr>
      <w:tr w:rsidR="001F1584" w14:paraId="5C762D1F" w14:textId="77777777" w:rsidTr="00F618A2">
        <w:trPr>
          <w:trHeight w:val="293"/>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D1ED1" w14:textId="1694116A" w:rsidR="001F1584" w:rsidRDefault="001F1584" w:rsidP="001F1584">
            <w:pPr>
              <w:pStyle w:val="TableRow"/>
              <w:spacing w:after="120"/>
              <w:rPr>
                <w:rFonts w:cs="Arial"/>
                <w:color w:val="auto"/>
              </w:rPr>
            </w:pPr>
            <w:r>
              <w:rPr>
                <w:rFonts w:cs="Arial"/>
                <w:color w:val="auto"/>
              </w:rPr>
              <w:t>Curriculum resources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43462" w14:textId="68A062EF" w:rsidR="001F1584" w:rsidRDefault="001F1584" w:rsidP="001F1584">
            <w:pPr>
              <w:suppressAutoHyphens w:val="0"/>
              <w:autoSpaceDN/>
              <w:spacing w:before="60" w:after="60" w:line="240" w:lineRule="auto"/>
              <w:ind w:left="57" w:right="57"/>
              <w:rPr>
                <w:rFonts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7A24FB2E" w14:textId="6C27B53B" w:rsidR="001F1584" w:rsidRDefault="00E82DFA" w:rsidP="00E82DFA">
            <w:pPr>
              <w:pStyle w:val="TableRowCentered"/>
              <w:ind w:left="0"/>
              <w:jc w:val="left"/>
              <w:rPr>
                <w:rFonts w:cs="Arial"/>
                <w:color w:val="auto"/>
                <w:szCs w:val="24"/>
              </w:rPr>
            </w:pPr>
            <w:r>
              <w:rPr>
                <w:rFonts w:cs="Arial"/>
                <w:color w:val="auto"/>
                <w:szCs w:val="24"/>
              </w:rPr>
              <w:t>£104,000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A6234" w14:textId="3F789329" w:rsidR="001F1584" w:rsidRDefault="001F1584" w:rsidP="001F1584">
            <w:pPr>
              <w:pStyle w:val="TableRowCentered"/>
              <w:ind w:left="0"/>
              <w:jc w:val="left"/>
              <w:rPr>
                <w:rFonts w:cs="Arial"/>
                <w:color w:val="auto"/>
                <w:szCs w:val="24"/>
              </w:rPr>
            </w:pPr>
          </w:p>
        </w:tc>
      </w:tr>
    </w:tbl>
    <w:p w14:paraId="2A7D5522" w14:textId="123943A0" w:rsidR="00E66558" w:rsidRDefault="00E66558">
      <w:pPr>
        <w:keepNext/>
        <w:spacing w:after="60"/>
        <w:outlineLvl w:val="1"/>
      </w:pPr>
    </w:p>
    <w:p w14:paraId="2A7D5523" w14:textId="1DC08891" w:rsidR="00E66558" w:rsidRDefault="009D71E8" w:rsidP="006B51F6">
      <w:pPr>
        <w:spacing w:before="240"/>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0CF1414" w:rsidR="00E66558" w:rsidRDefault="009D71E8" w:rsidP="009A7A96">
      <w:r>
        <w:t xml:space="preserve">Budgeted cost: </w:t>
      </w:r>
    </w:p>
    <w:tbl>
      <w:tblPr>
        <w:tblW w:w="5153" w:type="pct"/>
        <w:tblLayout w:type="fixed"/>
        <w:tblCellMar>
          <w:left w:w="10" w:type="dxa"/>
          <w:right w:w="10" w:type="dxa"/>
        </w:tblCellMar>
        <w:tblLook w:val="04A0" w:firstRow="1" w:lastRow="0" w:firstColumn="1" w:lastColumn="0" w:noHBand="0" w:noVBand="1"/>
      </w:tblPr>
      <w:tblGrid>
        <w:gridCol w:w="3397"/>
        <w:gridCol w:w="3402"/>
        <w:gridCol w:w="1418"/>
        <w:gridCol w:w="1559"/>
      </w:tblGrid>
      <w:tr w:rsidR="00001015" w14:paraId="2A7D5528" w14:textId="77777777" w:rsidTr="00E65799">
        <w:trPr>
          <w:trHeight w:val="369"/>
        </w:trPr>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001015" w:rsidRDefault="00001015">
            <w:pPr>
              <w:pStyle w:val="TableHeader"/>
              <w:jc w:val="left"/>
            </w:pPr>
            <w:r>
              <w:t>Activity</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001015" w:rsidRDefault="00001015">
            <w:pPr>
              <w:pStyle w:val="TableHeader"/>
              <w:jc w:val="left"/>
            </w:pPr>
            <w:r>
              <w:t>Evidence that supports this approach</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531F1C3" w14:textId="495A4EF5" w:rsidR="00001015" w:rsidRDefault="00001015" w:rsidP="00001015">
            <w:pPr>
              <w:pStyle w:val="TableHeader"/>
            </w:pPr>
            <w:r>
              <w:t>Costings</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09BBD047" w:rsidR="00001015" w:rsidRDefault="00001015">
            <w:pPr>
              <w:pStyle w:val="TableHeader"/>
              <w:jc w:val="left"/>
            </w:pPr>
            <w:r>
              <w:t>Challenge number(s) addressed</w:t>
            </w:r>
          </w:p>
        </w:tc>
      </w:tr>
      <w:tr w:rsidR="00001015" w:rsidRPr="00A50F03" w14:paraId="414496B7" w14:textId="77777777" w:rsidTr="00E65799">
        <w:trPr>
          <w:trHeight w:val="1123"/>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8F73E" w14:textId="5DECC7C5" w:rsidR="00001015" w:rsidRDefault="00001015" w:rsidP="00BA75C0">
            <w:pPr>
              <w:pStyle w:val="TableRow"/>
              <w:ind w:left="0"/>
              <w:rPr>
                <w:rFonts w:cs="Arial"/>
                <w:color w:val="auto"/>
              </w:rPr>
            </w:pPr>
            <w:r>
              <w:rPr>
                <w:rFonts w:cs="Arial"/>
                <w:color w:val="auto"/>
              </w:rPr>
              <w:t>Staffing and creation of the ‘Literacy Hub’</w:t>
            </w:r>
            <w:r w:rsidR="00E65799">
              <w:rPr>
                <w:rFonts w:cs="Arial"/>
                <w:color w:val="auto"/>
              </w:rPr>
              <w:t xml:space="preserve">. Bespoke ‘New to English’ group teaching and reading groups tackling the most extreme literacy challenges. </w:t>
            </w:r>
          </w:p>
          <w:p w14:paraId="4685E161" w14:textId="77777777" w:rsidR="00001015" w:rsidRDefault="00001015" w:rsidP="00953B94">
            <w:pPr>
              <w:pStyle w:val="TableRow"/>
              <w:spacing w:after="240"/>
              <w:rPr>
                <w:color w:val="aut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348D" w14:textId="77777777" w:rsidR="00001015" w:rsidRDefault="007A08BE" w:rsidP="00E01DC7">
            <w:pPr>
              <w:suppressAutoHyphens w:val="0"/>
              <w:autoSpaceDN/>
              <w:spacing w:before="60" w:after="120" w:line="240" w:lineRule="auto"/>
              <w:ind w:left="57" w:right="57"/>
              <w:rPr>
                <w:color w:val="auto"/>
              </w:rPr>
            </w:pPr>
            <w:r>
              <w:rPr>
                <w:color w:val="auto"/>
              </w:rPr>
              <w:t>EEF – Improving literacy in Secondary Schools</w:t>
            </w:r>
          </w:p>
          <w:p w14:paraId="192417C3" w14:textId="6FCDA296" w:rsidR="007A08BE" w:rsidRDefault="007A08BE" w:rsidP="00E01DC7">
            <w:pPr>
              <w:suppressAutoHyphens w:val="0"/>
              <w:autoSpaceDN/>
              <w:spacing w:before="60" w:after="120" w:line="240" w:lineRule="auto"/>
              <w:ind w:left="57" w:right="57"/>
              <w:rPr>
                <w:color w:val="auto"/>
              </w:rPr>
            </w:pPr>
          </w:p>
        </w:tc>
        <w:tc>
          <w:tcPr>
            <w:tcW w:w="1418" w:type="dxa"/>
            <w:tcBorders>
              <w:top w:val="single" w:sz="4" w:space="0" w:color="000000"/>
              <w:left w:val="single" w:sz="4" w:space="0" w:color="000000"/>
              <w:bottom w:val="single" w:sz="4" w:space="0" w:color="000000"/>
              <w:right w:val="single" w:sz="4" w:space="0" w:color="000000"/>
            </w:tcBorders>
          </w:tcPr>
          <w:p w14:paraId="75BDFBBD" w14:textId="210D1583" w:rsidR="00001015" w:rsidRDefault="00E82DFA" w:rsidP="00E82DFA">
            <w:pPr>
              <w:pStyle w:val="TableRowCentered"/>
              <w:ind w:left="0"/>
              <w:jc w:val="left"/>
              <w:rPr>
                <w:color w:val="auto"/>
                <w:szCs w:val="24"/>
              </w:rPr>
            </w:pPr>
            <w:r>
              <w:rPr>
                <w:color w:val="auto"/>
                <w:szCs w:val="24"/>
              </w:rPr>
              <w:t>£102,522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05F4C" w14:textId="404036F5" w:rsidR="00001015" w:rsidRPr="00A50F03" w:rsidRDefault="00001015" w:rsidP="00180190">
            <w:pPr>
              <w:pStyle w:val="TableRowCentered"/>
              <w:ind w:left="0"/>
              <w:jc w:val="left"/>
              <w:rPr>
                <w:color w:val="auto"/>
                <w:szCs w:val="24"/>
              </w:rPr>
            </w:pPr>
          </w:p>
        </w:tc>
      </w:tr>
      <w:tr w:rsidR="00001015" w:rsidRPr="00A50F03" w14:paraId="2A7D552C" w14:textId="77777777" w:rsidTr="00E65799">
        <w:trPr>
          <w:trHeight w:val="1066"/>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D5853A1" w:rsidR="00001015" w:rsidRPr="00A50F03" w:rsidRDefault="00001015" w:rsidP="00953B94">
            <w:pPr>
              <w:pStyle w:val="TableRow"/>
              <w:spacing w:after="240"/>
              <w:rPr>
                <w:color w:val="auto"/>
              </w:rPr>
            </w:pPr>
            <w:r>
              <w:rPr>
                <w:color w:val="auto"/>
              </w:rPr>
              <w:t>‘Huntington Research’ interventions from Lead Practitioner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50A7E08F" w:rsidR="00001015" w:rsidRPr="00A50F03" w:rsidRDefault="00001015" w:rsidP="00E01DC7">
            <w:pPr>
              <w:suppressAutoHyphens w:val="0"/>
              <w:autoSpaceDN/>
              <w:spacing w:before="60" w:after="120" w:line="240" w:lineRule="auto"/>
              <w:ind w:left="57" w:right="57"/>
              <w:rPr>
                <w:color w:val="auto"/>
              </w:rPr>
            </w:pPr>
            <w:r>
              <w:rPr>
                <w:color w:val="auto"/>
              </w:rPr>
              <w:t xml:space="preserve">Research based project / Huntington </w:t>
            </w:r>
          </w:p>
        </w:tc>
        <w:tc>
          <w:tcPr>
            <w:tcW w:w="1418" w:type="dxa"/>
            <w:tcBorders>
              <w:top w:val="single" w:sz="4" w:space="0" w:color="000000"/>
              <w:left w:val="single" w:sz="4" w:space="0" w:color="000000"/>
              <w:bottom w:val="single" w:sz="4" w:space="0" w:color="000000"/>
              <w:right w:val="single" w:sz="4" w:space="0" w:color="000000"/>
            </w:tcBorders>
          </w:tcPr>
          <w:p w14:paraId="1534A8B1" w14:textId="4A6D99E8" w:rsidR="00001015" w:rsidRPr="00A50F03" w:rsidRDefault="00E82DFA" w:rsidP="00E82DFA">
            <w:pPr>
              <w:pStyle w:val="TableRowCentered"/>
              <w:ind w:left="0"/>
              <w:jc w:val="left"/>
              <w:rPr>
                <w:color w:val="auto"/>
                <w:szCs w:val="24"/>
              </w:rPr>
            </w:pPr>
            <w:r>
              <w:rPr>
                <w:color w:val="auto"/>
                <w:szCs w:val="24"/>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975818E" w:rsidR="00001015" w:rsidRPr="00A50F03" w:rsidRDefault="00001015" w:rsidP="00180190">
            <w:pPr>
              <w:pStyle w:val="TableRowCentered"/>
              <w:ind w:left="0"/>
              <w:jc w:val="left"/>
              <w:rPr>
                <w:color w:val="auto"/>
                <w:szCs w:val="24"/>
              </w:rPr>
            </w:pPr>
          </w:p>
        </w:tc>
      </w:tr>
      <w:tr w:rsidR="00001015" w:rsidRPr="00A50F03" w14:paraId="2A7D5530" w14:textId="77777777" w:rsidTr="00E65799">
        <w:trPr>
          <w:trHeight w:val="62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A69460A" w:rsidR="00001015" w:rsidRPr="00A50F03" w:rsidRDefault="00001015" w:rsidP="008841AD">
            <w:pPr>
              <w:suppressAutoHyphens w:val="0"/>
              <w:autoSpaceDN/>
              <w:spacing w:before="60" w:after="60" w:line="240" w:lineRule="auto"/>
              <w:ind w:left="57" w:right="57"/>
              <w:rPr>
                <w:color w:val="auto"/>
              </w:rPr>
            </w:pPr>
            <w:r>
              <w:rPr>
                <w:color w:val="auto"/>
              </w:rPr>
              <w:lastRenderedPageBreak/>
              <w:t xml:space="preserve">Half – term / weekend academic interventions </w:t>
            </w:r>
            <w:r w:rsidR="00E65799">
              <w:rPr>
                <w:color w:val="auto"/>
              </w:rPr>
              <w:t xml:space="preserve">/ support groups including academic interventions and enrichment activities.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C8D9616" w:rsidR="00001015" w:rsidRPr="00A50F03" w:rsidRDefault="007A08BE" w:rsidP="00AF1973">
            <w:pPr>
              <w:suppressAutoHyphens w:val="0"/>
              <w:autoSpaceDN/>
              <w:spacing w:before="60" w:after="120" w:line="240" w:lineRule="auto"/>
              <w:ind w:left="57" w:right="57"/>
              <w:rPr>
                <w:color w:val="auto"/>
              </w:rPr>
            </w:pPr>
            <w:r>
              <w:rPr>
                <w:color w:val="auto"/>
              </w:rPr>
              <w:t xml:space="preserve">EEF – Teacher Feedback recommendations </w:t>
            </w:r>
          </w:p>
        </w:tc>
        <w:tc>
          <w:tcPr>
            <w:tcW w:w="1418" w:type="dxa"/>
            <w:tcBorders>
              <w:top w:val="single" w:sz="4" w:space="0" w:color="000000"/>
              <w:left w:val="single" w:sz="4" w:space="0" w:color="000000"/>
              <w:bottom w:val="single" w:sz="4" w:space="0" w:color="000000"/>
              <w:right w:val="single" w:sz="4" w:space="0" w:color="000000"/>
            </w:tcBorders>
          </w:tcPr>
          <w:p w14:paraId="2BCCC39C" w14:textId="1E86EF8F" w:rsidR="00001015" w:rsidRDefault="00E82DFA" w:rsidP="00E82DFA">
            <w:pPr>
              <w:pStyle w:val="TableRowCentered"/>
              <w:ind w:left="0"/>
              <w:jc w:val="left"/>
              <w:rPr>
                <w:color w:val="auto"/>
                <w:szCs w:val="24"/>
              </w:rPr>
            </w:pPr>
            <w:r>
              <w:rPr>
                <w:color w:val="auto"/>
                <w:szCs w:val="24"/>
              </w:rPr>
              <w:t>£10,000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BF81BCC" w:rsidR="00001015" w:rsidRPr="00A50F03" w:rsidRDefault="00001015" w:rsidP="00180190">
            <w:pPr>
              <w:pStyle w:val="TableRowCentered"/>
              <w:ind w:left="0"/>
              <w:jc w:val="left"/>
              <w:rPr>
                <w:color w:val="auto"/>
                <w:szCs w:val="24"/>
              </w:rPr>
            </w:pPr>
          </w:p>
        </w:tc>
      </w:tr>
      <w:tr w:rsidR="00001015" w:rsidRPr="00A50F03" w14:paraId="4322F3C5" w14:textId="77777777" w:rsidTr="00E65799">
        <w:trPr>
          <w:trHeight w:val="426"/>
        </w:trPr>
        <w:tc>
          <w:tcPr>
            <w:tcW w:w="339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6639791" w14:textId="32A85AC7" w:rsidR="00001015" w:rsidRDefault="00001015" w:rsidP="008841AD">
            <w:pPr>
              <w:suppressAutoHyphens w:val="0"/>
              <w:autoSpaceDN/>
              <w:spacing w:before="60" w:after="60" w:line="240" w:lineRule="auto"/>
              <w:ind w:left="57" w:right="57"/>
              <w:rPr>
                <w:color w:val="auto"/>
              </w:rPr>
            </w:pPr>
            <w:r>
              <w:rPr>
                <w:color w:val="auto"/>
              </w:rPr>
              <w:t xml:space="preserve">TFTF Mentoring project </w:t>
            </w:r>
          </w:p>
        </w:tc>
        <w:tc>
          <w:tcPr>
            <w:tcW w:w="34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5BA3885" w14:textId="7465C11C" w:rsidR="00001015" w:rsidRPr="00A50F03" w:rsidRDefault="00001015" w:rsidP="00AF1973">
            <w:pPr>
              <w:suppressAutoHyphens w:val="0"/>
              <w:autoSpaceDN/>
              <w:spacing w:before="60" w:after="120" w:line="240" w:lineRule="auto"/>
              <w:ind w:left="57" w:right="57"/>
              <w:rPr>
                <w:color w:val="auto"/>
              </w:rPr>
            </w:pPr>
          </w:p>
        </w:tc>
        <w:tc>
          <w:tcPr>
            <w:tcW w:w="1418" w:type="dxa"/>
            <w:tcBorders>
              <w:top w:val="single" w:sz="4" w:space="0" w:color="000000"/>
              <w:left w:val="single" w:sz="4" w:space="0" w:color="000000"/>
              <w:bottom w:val="single" w:sz="4" w:space="0" w:color="auto"/>
              <w:right w:val="single" w:sz="4" w:space="0" w:color="000000"/>
            </w:tcBorders>
          </w:tcPr>
          <w:p w14:paraId="625A1A83" w14:textId="3BAB24B7" w:rsidR="00001015" w:rsidRDefault="00E82DFA" w:rsidP="00180190">
            <w:pPr>
              <w:pStyle w:val="TableRowCentered"/>
              <w:ind w:left="0"/>
              <w:jc w:val="left"/>
              <w:rPr>
                <w:color w:val="auto"/>
                <w:szCs w:val="24"/>
              </w:rPr>
            </w:pPr>
            <w:r>
              <w:rPr>
                <w:color w:val="auto"/>
                <w:szCs w:val="24"/>
              </w:rPr>
              <w:t>£5,000</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170B8D" w14:textId="4289CE77" w:rsidR="00001015" w:rsidRDefault="00001015" w:rsidP="00180190">
            <w:pPr>
              <w:pStyle w:val="TableRowCentered"/>
              <w:ind w:left="0"/>
              <w:jc w:val="left"/>
              <w:rPr>
                <w:color w:val="auto"/>
                <w:szCs w:val="24"/>
              </w:rPr>
            </w:pPr>
          </w:p>
        </w:tc>
      </w:tr>
    </w:tbl>
    <w:p w14:paraId="2A7D5532" w14:textId="72CE036B" w:rsidR="00E66558" w:rsidRDefault="009D71E8" w:rsidP="006B51F6">
      <w:pPr>
        <w:spacing w:before="240"/>
        <w:rPr>
          <w:b/>
          <w:color w:val="104F75"/>
          <w:sz w:val="28"/>
          <w:szCs w:val="28"/>
        </w:rPr>
      </w:pPr>
      <w:r>
        <w:rPr>
          <w:b/>
          <w:color w:val="104F75"/>
          <w:sz w:val="28"/>
          <w:szCs w:val="28"/>
        </w:rPr>
        <w:t>Wider strategies (for example, related to attendance, behaviour, wellbeing)</w:t>
      </w:r>
    </w:p>
    <w:p w14:paraId="2A7D5533" w14:textId="1ABB7A77" w:rsidR="00E66558" w:rsidRDefault="009D71E8" w:rsidP="009A7A96">
      <w:pPr>
        <w:spacing w:before="240"/>
      </w:pPr>
      <w:r>
        <w:t xml:space="preserve">Budgeted cost: </w:t>
      </w:r>
    </w:p>
    <w:tbl>
      <w:tblPr>
        <w:tblW w:w="5153" w:type="pct"/>
        <w:tblLayout w:type="fixed"/>
        <w:tblCellMar>
          <w:left w:w="10" w:type="dxa"/>
          <w:right w:w="10" w:type="dxa"/>
        </w:tblCellMar>
        <w:tblLook w:val="04A0" w:firstRow="1" w:lastRow="0" w:firstColumn="1" w:lastColumn="0" w:noHBand="0" w:noVBand="1"/>
      </w:tblPr>
      <w:tblGrid>
        <w:gridCol w:w="2886"/>
        <w:gridCol w:w="3913"/>
        <w:gridCol w:w="1418"/>
        <w:gridCol w:w="1559"/>
      </w:tblGrid>
      <w:tr w:rsidR="00F618A2" w14:paraId="2A7D5537" w14:textId="77777777" w:rsidTr="00F618A2">
        <w:tc>
          <w:tcPr>
            <w:tcW w:w="28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F618A2" w:rsidRDefault="00F618A2" w:rsidP="005C3EC2">
            <w:pPr>
              <w:pStyle w:val="TableHeader"/>
              <w:ind w:right="-428"/>
              <w:jc w:val="left"/>
            </w:pPr>
            <w:r>
              <w:t>Activity</w:t>
            </w:r>
          </w:p>
        </w:tc>
        <w:tc>
          <w:tcPr>
            <w:tcW w:w="39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F618A2" w:rsidRDefault="00F618A2">
            <w:pPr>
              <w:pStyle w:val="TableHeader"/>
              <w:jc w:val="left"/>
            </w:pPr>
            <w:r>
              <w:t>Evidence that supports this approach</w:t>
            </w:r>
          </w:p>
        </w:tc>
        <w:tc>
          <w:tcPr>
            <w:tcW w:w="1418" w:type="dxa"/>
            <w:tcBorders>
              <w:top w:val="single" w:sz="4" w:space="0" w:color="000000"/>
              <w:left w:val="single" w:sz="4" w:space="0" w:color="000000"/>
              <w:bottom w:val="single" w:sz="4" w:space="0" w:color="000000"/>
              <w:right w:val="single" w:sz="4" w:space="0" w:color="000000"/>
            </w:tcBorders>
            <w:shd w:val="clear" w:color="auto" w:fill="D8E2E9"/>
          </w:tcPr>
          <w:p w14:paraId="6CE36F5F" w14:textId="77777777" w:rsidR="00F618A2" w:rsidRDefault="00F618A2">
            <w:pPr>
              <w:pStyle w:val="TableHeader"/>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303142FB" w:rsidR="00F618A2" w:rsidRDefault="00F618A2">
            <w:pPr>
              <w:pStyle w:val="TableHeader"/>
              <w:jc w:val="left"/>
            </w:pPr>
            <w:r>
              <w:t>Challenge number(s) addressed</w:t>
            </w:r>
          </w:p>
        </w:tc>
      </w:tr>
      <w:tr w:rsidR="00F618A2" w14:paraId="2A7D553F" w14:textId="77777777" w:rsidTr="00F618A2">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08D3" w14:textId="30F5BF86" w:rsidR="00F618A2" w:rsidRDefault="00F618A2" w:rsidP="004C50F2">
            <w:pPr>
              <w:pStyle w:val="TableRow"/>
              <w:ind w:left="29"/>
              <w:rPr>
                <w:color w:val="auto"/>
              </w:rPr>
            </w:pPr>
            <w:r>
              <w:rPr>
                <w:color w:val="auto"/>
              </w:rPr>
              <w:t>E</w:t>
            </w:r>
            <w:r w:rsidR="00227CA3">
              <w:rPr>
                <w:color w:val="auto"/>
              </w:rPr>
              <w:t xml:space="preserve">lectives curriculum implemented, broad range of experiences made available to all students </w:t>
            </w:r>
          </w:p>
          <w:p w14:paraId="2A7D553C" w14:textId="3BA10CDB" w:rsidR="00F618A2" w:rsidRPr="00A50F03" w:rsidRDefault="00F618A2" w:rsidP="004C50F2">
            <w:pPr>
              <w:pStyle w:val="TableRow"/>
              <w:ind w:left="29"/>
              <w:rPr>
                <w:color w:val="auto"/>
              </w:rPr>
            </w:pPr>
            <w:r>
              <w:rPr>
                <w:color w:val="auto"/>
              </w:rPr>
              <w:t xml:space="preserve">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81AF87C" w:rsidR="00F618A2" w:rsidRPr="00A50F03" w:rsidRDefault="007A08BE" w:rsidP="003B09CE">
            <w:pPr>
              <w:suppressAutoHyphens w:val="0"/>
              <w:autoSpaceDN/>
              <w:spacing w:before="60" w:after="120" w:line="240" w:lineRule="auto"/>
              <w:ind w:left="57" w:right="57"/>
              <w:rPr>
                <w:color w:val="auto"/>
              </w:rPr>
            </w:pPr>
            <w:r>
              <w:rPr>
                <w:color w:val="auto"/>
              </w:rPr>
              <w:t>General p</w:t>
            </w:r>
            <w:r w:rsidR="003B09CE">
              <w:rPr>
                <w:color w:val="auto"/>
              </w:rPr>
              <w:t xml:space="preserve">rinciples of ‘Cultural Capital’ </w:t>
            </w:r>
          </w:p>
        </w:tc>
        <w:tc>
          <w:tcPr>
            <w:tcW w:w="1418" w:type="dxa"/>
            <w:tcBorders>
              <w:top w:val="single" w:sz="4" w:space="0" w:color="000000"/>
              <w:left w:val="single" w:sz="4" w:space="0" w:color="000000"/>
              <w:bottom w:val="single" w:sz="4" w:space="0" w:color="000000"/>
              <w:right w:val="single" w:sz="4" w:space="0" w:color="000000"/>
            </w:tcBorders>
          </w:tcPr>
          <w:p w14:paraId="36469EFE" w14:textId="36B6EB51" w:rsidR="00F618A2" w:rsidRDefault="00E82DFA" w:rsidP="00180190">
            <w:pPr>
              <w:pStyle w:val="TableRowCentered"/>
              <w:ind w:left="0"/>
              <w:jc w:val="left"/>
              <w:rPr>
                <w:color w:val="auto"/>
                <w:szCs w:val="24"/>
              </w:rPr>
            </w:pPr>
            <w:r>
              <w:rPr>
                <w:color w:val="auto"/>
                <w:szCs w:val="24"/>
              </w:rPr>
              <w:t>£25,000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09E1A0A" w:rsidR="00F618A2" w:rsidRPr="00A50F03" w:rsidRDefault="00F618A2" w:rsidP="00180190">
            <w:pPr>
              <w:pStyle w:val="TableRowCentered"/>
              <w:ind w:left="0"/>
              <w:jc w:val="left"/>
              <w:rPr>
                <w:color w:val="auto"/>
                <w:szCs w:val="24"/>
              </w:rPr>
            </w:pPr>
          </w:p>
        </w:tc>
      </w:tr>
      <w:tr w:rsidR="00F618A2" w14:paraId="363847FB" w14:textId="77777777" w:rsidTr="00F618A2">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BC5B" w14:textId="5235761C" w:rsidR="00F618A2" w:rsidRDefault="00F618A2" w:rsidP="003010EE">
            <w:pPr>
              <w:pStyle w:val="TableRow"/>
              <w:spacing w:after="120"/>
              <w:ind w:left="29"/>
              <w:rPr>
                <w:iCs/>
                <w:color w:val="auto"/>
                <w:szCs w:val="28"/>
                <w:lang w:val="en-US"/>
              </w:rPr>
            </w:pPr>
            <w:r>
              <w:rPr>
                <w:iCs/>
                <w:color w:val="auto"/>
                <w:szCs w:val="28"/>
                <w:lang w:val="en-US"/>
              </w:rPr>
              <w:t>Whole school attendance reward trip</w:t>
            </w:r>
          </w:p>
          <w:p w14:paraId="04A38F08" w14:textId="1C5AC950" w:rsidR="00F618A2" w:rsidRPr="00A50F03" w:rsidRDefault="00F618A2" w:rsidP="003010EE">
            <w:pPr>
              <w:pStyle w:val="TableRow"/>
              <w:spacing w:after="120"/>
              <w:ind w:left="29"/>
              <w:rPr>
                <w:iCs/>
                <w:color w:val="auto"/>
                <w:szCs w:val="28"/>
                <w:lang w:val="en-US"/>
              </w:rPr>
            </w:pP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E4ED" w14:textId="367D1E9E" w:rsidR="00F618A2" w:rsidRPr="00A50F03" w:rsidRDefault="00F618A2" w:rsidP="005C3EC2">
            <w:pPr>
              <w:suppressAutoHyphens w:val="0"/>
              <w:autoSpaceDN/>
              <w:spacing w:before="60" w:after="60" w:line="240" w:lineRule="auto"/>
              <w:ind w:left="57" w:right="57"/>
              <w:rPr>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A6D5C5A" w14:textId="641DBDFB" w:rsidR="00F618A2" w:rsidRDefault="00E82DFA" w:rsidP="00180190">
            <w:pPr>
              <w:pStyle w:val="TableRowCentered"/>
              <w:ind w:left="0"/>
              <w:jc w:val="left"/>
              <w:rPr>
                <w:color w:val="auto"/>
                <w:szCs w:val="24"/>
              </w:rPr>
            </w:pPr>
            <w:r>
              <w:rPr>
                <w:color w:val="auto"/>
                <w:szCs w:val="24"/>
              </w:rPr>
              <w:t>£10,000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025C" w14:textId="0E8BD3DA" w:rsidR="00F618A2" w:rsidRPr="00A50F03" w:rsidRDefault="00F618A2" w:rsidP="00180190">
            <w:pPr>
              <w:pStyle w:val="TableRowCentered"/>
              <w:ind w:left="0"/>
              <w:jc w:val="left"/>
              <w:rPr>
                <w:color w:val="auto"/>
                <w:szCs w:val="24"/>
              </w:rPr>
            </w:pPr>
          </w:p>
        </w:tc>
      </w:tr>
      <w:tr w:rsidR="00F618A2" w14:paraId="50937A51" w14:textId="77777777" w:rsidTr="00F618A2">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6530" w14:textId="3C1FC84F" w:rsidR="00F618A2" w:rsidRDefault="00F618A2" w:rsidP="003010EE">
            <w:pPr>
              <w:pStyle w:val="TableRow"/>
              <w:spacing w:after="120"/>
              <w:ind w:left="29"/>
              <w:rPr>
                <w:iCs/>
                <w:color w:val="auto"/>
                <w:szCs w:val="28"/>
                <w:lang w:val="en-US"/>
              </w:rPr>
            </w:pPr>
            <w:r>
              <w:rPr>
                <w:iCs/>
                <w:color w:val="auto"/>
                <w:szCs w:val="28"/>
                <w:lang w:val="en-US"/>
              </w:rPr>
              <w:t>Full school uniform for all new students</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A8E93" w14:textId="2916FCAD" w:rsidR="00F618A2" w:rsidRDefault="00F618A2" w:rsidP="005C3EC2">
            <w:pPr>
              <w:suppressAutoHyphens w:val="0"/>
              <w:autoSpaceDN/>
              <w:spacing w:before="60" w:after="60" w:line="240" w:lineRule="auto"/>
              <w:ind w:left="57" w:right="57"/>
              <w:rPr>
                <w:color w:val="auto"/>
              </w:rPr>
            </w:pPr>
          </w:p>
        </w:tc>
        <w:tc>
          <w:tcPr>
            <w:tcW w:w="1418" w:type="dxa"/>
            <w:tcBorders>
              <w:top w:val="single" w:sz="4" w:space="0" w:color="000000"/>
              <w:left w:val="single" w:sz="4" w:space="0" w:color="000000"/>
              <w:bottom w:val="single" w:sz="4" w:space="0" w:color="000000"/>
              <w:right w:val="single" w:sz="4" w:space="0" w:color="000000"/>
            </w:tcBorders>
          </w:tcPr>
          <w:p w14:paraId="097FBEA4" w14:textId="7B1E447D" w:rsidR="00F618A2" w:rsidRDefault="00E82DFA" w:rsidP="00180190">
            <w:pPr>
              <w:pStyle w:val="TableRowCentered"/>
              <w:ind w:left="0"/>
              <w:jc w:val="left"/>
              <w:rPr>
                <w:color w:val="auto"/>
                <w:szCs w:val="24"/>
              </w:rPr>
            </w:pPr>
            <w:r>
              <w:rPr>
                <w:color w:val="auto"/>
                <w:szCs w:val="24"/>
              </w:rPr>
              <w:t>£15,000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505B" w14:textId="4C924D39" w:rsidR="00F618A2" w:rsidRDefault="00F618A2" w:rsidP="00180190">
            <w:pPr>
              <w:pStyle w:val="TableRowCentered"/>
              <w:ind w:left="0"/>
              <w:jc w:val="left"/>
              <w:rPr>
                <w:color w:val="auto"/>
                <w:szCs w:val="24"/>
              </w:rPr>
            </w:pPr>
          </w:p>
        </w:tc>
      </w:tr>
    </w:tbl>
    <w:p w14:paraId="2A7D5540" w14:textId="77777777" w:rsidR="00E66558" w:rsidRDefault="00E66558" w:rsidP="007368B1">
      <w:pPr>
        <w:spacing w:before="120" w:after="0"/>
        <w:rPr>
          <w:b/>
          <w:bCs/>
          <w:color w:val="104F75"/>
          <w:sz w:val="28"/>
          <w:szCs w:val="28"/>
        </w:rPr>
      </w:pPr>
    </w:p>
    <w:p w14:paraId="2A7D5541" w14:textId="0C7EFC31" w:rsidR="00E66558" w:rsidRDefault="009D71E8" w:rsidP="00120AB1">
      <w:pPr>
        <w:rPr>
          <w:b/>
          <w:bCs/>
          <w:color w:val="auto"/>
          <w:sz w:val="28"/>
          <w:szCs w:val="28"/>
        </w:rPr>
      </w:pPr>
      <w:r>
        <w:rPr>
          <w:b/>
          <w:bCs/>
          <w:color w:val="104F75"/>
          <w:sz w:val="28"/>
          <w:szCs w:val="28"/>
        </w:rPr>
        <w:t xml:space="preserve">Total budgeted cost: </w:t>
      </w:r>
      <w:r w:rsidR="00E82DFA">
        <w:rPr>
          <w:b/>
          <w:bCs/>
          <w:color w:val="104F75"/>
          <w:sz w:val="28"/>
          <w:szCs w:val="28"/>
        </w:rPr>
        <w:t>£50,000</w:t>
      </w:r>
    </w:p>
    <w:p w14:paraId="7888FED9" w14:textId="77777777" w:rsidR="00BA75C0" w:rsidRDefault="00BA75C0" w:rsidP="00120AB1"/>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93017F">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ECD0B" w14:textId="5DB87B38" w:rsidR="00F156B2" w:rsidRDefault="00F156B2" w:rsidP="00F156B2">
            <w:pPr>
              <w:suppressAutoHyphens w:val="0"/>
              <w:autoSpaceDN/>
              <w:spacing w:after="160" w:line="259" w:lineRule="auto"/>
              <w:jc w:val="both"/>
              <w:rPr>
                <w:rFonts w:ascii="Century Gothic" w:hAnsi="Century Gothic"/>
              </w:rPr>
            </w:pPr>
            <w:r w:rsidRPr="00F156B2">
              <w:rPr>
                <w:rFonts w:ascii="Century Gothic" w:hAnsi="Century Gothic"/>
              </w:rPr>
              <w:t>The number of PP student’s with a reading age above their chronological age grew significantly in Year 7 and year 9.</w:t>
            </w:r>
          </w:p>
          <w:p w14:paraId="3606CC23" w14:textId="40B5F8D5"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 xml:space="preserve">For disadvantaged SEND students, ATL (Attitude to Learning) scores improved in all year groups when compared to the previous academic year, apart from in Y11 where they were the same. In KS3 this was by over half a grade. </w:t>
            </w:r>
          </w:p>
          <w:tbl>
            <w:tblPr>
              <w:tblStyle w:val="TableGrid"/>
              <w:tblpPr w:leftFromText="180" w:rightFromText="180" w:vertAnchor="text" w:horzAnchor="margin" w:tblpY="417"/>
              <w:tblOverlap w:val="never"/>
              <w:tblW w:w="0" w:type="auto"/>
              <w:tblLook w:val="04A0" w:firstRow="1" w:lastRow="0" w:firstColumn="1" w:lastColumn="0" w:noHBand="0" w:noVBand="1"/>
            </w:tblPr>
            <w:tblGrid>
              <w:gridCol w:w="1402"/>
              <w:gridCol w:w="1828"/>
              <w:gridCol w:w="1967"/>
              <w:gridCol w:w="1968"/>
              <w:gridCol w:w="2102"/>
            </w:tblGrid>
            <w:tr w:rsidR="00F156B2" w14:paraId="07A92A39" w14:textId="77777777" w:rsidTr="004D6E0A">
              <w:trPr>
                <w:trHeight w:val="40"/>
              </w:trPr>
              <w:tc>
                <w:tcPr>
                  <w:tcW w:w="1413" w:type="dxa"/>
                  <w:tcBorders>
                    <w:top w:val="single" w:sz="4" w:space="0" w:color="auto"/>
                    <w:left w:val="single" w:sz="4" w:space="0" w:color="auto"/>
                    <w:bottom w:val="single" w:sz="4" w:space="0" w:color="auto"/>
                    <w:right w:val="single" w:sz="4" w:space="0" w:color="auto"/>
                  </w:tcBorders>
                </w:tcPr>
                <w:p w14:paraId="3DD2365A" w14:textId="77777777" w:rsidR="00F156B2" w:rsidRDefault="00F156B2" w:rsidP="00F156B2">
                  <w:pPr>
                    <w:spacing w:before="60" w:after="120"/>
                    <w:ind w:right="57"/>
                    <w:jc w:val="both"/>
                    <w:rPr>
                      <w:rFonts w:ascii="Century Gothic" w:hAnsi="Century Gothic"/>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47BFA27" w14:textId="77777777" w:rsidR="00F156B2" w:rsidRDefault="00F156B2" w:rsidP="00F156B2">
                  <w:pPr>
                    <w:spacing w:before="60" w:after="120"/>
                    <w:ind w:right="57"/>
                    <w:jc w:val="both"/>
                    <w:rPr>
                      <w:rFonts w:ascii="Century Gothic" w:hAnsi="Century Gothic"/>
                      <w:b/>
                      <w:sz w:val="22"/>
                      <w:szCs w:val="22"/>
                    </w:rPr>
                  </w:pPr>
                  <w:r>
                    <w:rPr>
                      <w:rFonts w:ascii="Century Gothic" w:hAnsi="Century Gothic"/>
                      <w:b/>
                      <w:sz w:val="22"/>
                      <w:szCs w:val="22"/>
                    </w:rPr>
                    <w:t>A1 (2020-21)</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33893BD" w14:textId="77777777" w:rsidR="00F156B2" w:rsidRDefault="00F156B2" w:rsidP="00F156B2">
                  <w:pPr>
                    <w:spacing w:before="60" w:after="120"/>
                    <w:ind w:right="57"/>
                    <w:jc w:val="both"/>
                    <w:rPr>
                      <w:rFonts w:ascii="Century Gothic" w:hAnsi="Century Gothic"/>
                      <w:b/>
                      <w:sz w:val="22"/>
                      <w:szCs w:val="22"/>
                    </w:rPr>
                  </w:pPr>
                  <w:r>
                    <w:rPr>
                      <w:rFonts w:ascii="Century Gothic" w:hAnsi="Century Gothic"/>
                      <w:b/>
                      <w:sz w:val="22"/>
                      <w:szCs w:val="22"/>
                    </w:rPr>
                    <w:t>A2 (2020-2021)</w:t>
                  </w:r>
                </w:p>
              </w:tc>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C88B73E" w14:textId="77777777" w:rsidR="00F156B2" w:rsidRDefault="00F156B2" w:rsidP="00F156B2">
                  <w:pPr>
                    <w:spacing w:before="60" w:after="120"/>
                    <w:ind w:right="57"/>
                    <w:jc w:val="both"/>
                    <w:rPr>
                      <w:rFonts w:ascii="Century Gothic" w:hAnsi="Century Gothic"/>
                      <w:b/>
                      <w:sz w:val="22"/>
                      <w:szCs w:val="22"/>
                    </w:rPr>
                  </w:pPr>
                  <w:r>
                    <w:rPr>
                      <w:rFonts w:ascii="Century Gothic" w:hAnsi="Century Gothic"/>
                      <w:b/>
                      <w:sz w:val="22"/>
                      <w:szCs w:val="22"/>
                    </w:rPr>
                    <w:t>A1 (2021-2022)</w:t>
                  </w:r>
                </w:p>
              </w:tc>
              <w:tc>
                <w:tcPr>
                  <w:tcW w:w="212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3EA897B" w14:textId="77777777" w:rsidR="00F156B2" w:rsidRDefault="00F156B2" w:rsidP="00F156B2">
                  <w:pPr>
                    <w:spacing w:before="60" w:after="120"/>
                    <w:ind w:right="57"/>
                    <w:jc w:val="both"/>
                    <w:rPr>
                      <w:rFonts w:ascii="Century Gothic" w:hAnsi="Century Gothic"/>
                      <w:b/>
                      <w:sz w:val="22"/>
                      <w:szCs w:val="22"/>
                    </w:rPr>
                  </w:pPr>
                  <w:r>
                    <w:rPr>
                      <w:rFonts w:ascii="Century Gothic" w:hAnsi="Century Gothic"/>
                      <w:b/>
                      <w:sz w:val="22"/>
                      <w:szCs w:val="22"/>
                    </w:rPr>
                    <w:t>A2 (2021-2022)</w:t>
                  </w:r>
                </w:p>
              </w:tc>
            </w:tr>
            <w:tr w:rsidR="00F156B2" w14:paraId="5060DBB5" w14:textId="77777777" w:rsidTr="004D6E0A">
              <w:trPr>
                <w:trHeight w:val="40"/>
              </w:trPr>
              <w:tc>
                <w:tcPr>
                  <w:tcW w:w="1413" w:type="dxa"/>
                  <w:tcBorders>
                    <w:top w:val="single" w:sz="4" w:space="0" w:color="auto"/>
                    <w:left w:val="single" w:sz="4" w:space="0" w:color="auto"/>
                    <w:bottom w:val="single" w:sz="4" w:space="0" w:color="auto"/>
                    <w:right w:val="single" w:sz="4" w:space="0" w:color="auto"/>
                  </w:tcBorders>
                  <w:hideMark/>
                </w:tcPr>
                <w:p w14:paraId="7FC58DF7"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Year 7</w:t>
                  </w:r>
                </w:p>
              </w:tc>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8E444F3"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2.22</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83600CF"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2.7</w:t>
                  </w:r>
                </w:p>
              </w:tc>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AC9D991"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2.02</w:t>
                  </w:r>
                </w:p>
              </w:tc>
              <w:tc>
                <w:tcPr>
                  <w:tcW w:w="212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CAC7DC0"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2.12</w:t>
                  </w:r>
                </w:p>
              </w:tc>
            </w:tr>
            <w:tr w:rsidR="00F156B2" w14:paraId="292CF279" w14:textId="77777777" w:rsidTr="004D6E0A">
              <w:trPr>
                <w:trHeight w:val="40"/>
              </w:trPr>
              <w:tc>
                <w:tcPr>
                  <w:tcW w:w="1413" w:type="dxa"/>
                  <w:tcBorders>
                    <w:top w:val="single" w:sz="4" w:space="0" w:color="auto"/>
                    <w:left w:val="single" w:sz="4" w:space="0" w:color="auto"/>
                    <w:bottom w:val="single" w:sz="4" w:space="0" w:color="auto"/>
                    <w:right w:val="single" w:sz="4" w:space="0" w:color="auto"/>
                  </w:tcBorders>
                  <w:hideMark/>
                </w:tcPr>
                <w:p w14:paraId="2ED987FF"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Year 8</w:t>
                  </w:r>
                </w:p>
              </w:tc>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A4301EC"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2.25</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7ADB518"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2.83</w:t>
                  </w:r>
                </w:p>
              </w:tc>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E0924F2"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2.1</w:t>
                  </w:r>
                </w:p>
              </w:tc>
              <w:tc>
                <w:tcPr>
                  <w:tcW w:w="212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FDB3FD7"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2.13</w:t>
                  </w:r>
                </w:p>
              </w:tc>
            </w:tr>
            <w:tr w:rsidR="00F156B2" w14:paraId="7448CEC7" w14:textId="77777777" w:rsidTr="004D6E0A">
              <w:trPr>
                <w:trHeight w:val="40"/>
              </w:trPr>
              <w:tc>
                <w:tcPr>
                  <w:tcW w:w="1413" w:type="dxa"/>
                  <w:tcBorders>
                    <w:top w:val="single" w:sz="4" w:space="0" w:color="auto"/>
                    <w:left w:val="single" w:sz="4" w:space="0" w:color="auto"/>
                    <w:bottom w:val="single" w:sz="4" w:space="0" w:color="auto"/>
                    <w:right w:val="single" w:sz="4" w:space="0" w:color="auto"/>
                  </w:tcBorders>
                  <w:hideMark/>
                </w:tcPr>
                <w:p w14:paraId="3C5EDDDB"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Year 9</w:t>
                  </w:r>
                </w:p>
              </w:tc>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E71E27E"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2.25</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20ABDA3"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2.76</w:t>
                  </w:r>
                </w:p>
              </w:tc>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119E317"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2.17</w:t>
                  </w:r>
                </w:p>
              </w:tc>
              <w:tc>
                <w:tcPr>
                  <w:tcW w:w="212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929D122"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2.16</w:t>
                  </w:r>
                </w:p>
              </w:tc>
            </w:tr>
            <w:tr w:rsidR="00F156B2" w14:paraId="78A0F971" w14:textId="77777777" w:rsidTr="004D6E0A">
              <w:trPr>
                <w:trHeight w:val="40"/>
              </w:trPr>
              <w:tc>
                <w:tcPr>
                  <w:tcW w:w="1413" w:type="dxa"/>
                  <w:tcBorders>
                    <w:top w:val="single" w:sz="4" w:space="0" w:color="auto"/>
                    <w:left w:val="single" w:sz="4" w:space="0" w:color="auto"/>
                    <w:bottom w:val="single" w:sz="4" w:space="0" w:color="auto"/>
                    <w:right w:val="single" w:sz="4" w:space="0" w:color="auto"/>
                  </w:tcBorders>
                  <w:hideMark/>
                </w:tcPr>
                <w:p w14:paraId="2831A8CC"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Year 10</w:t>
                  </w:r>
                </w:p>
              </w:tc>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425615F"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2.24</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9152305"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2.63</w:t>
                  </w:r>
                </w:p>
              </w:tc>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AED68C8"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2.43</w:t>
                  </w:r>
                </w:p>
              </w:tc>
              <w:tc>
                <w:tcPr>
                  <w:tcW w:w="212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0D9A523"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2.5</w:t>
                  </w:r>
                </w:p>
              </w:tc>
            </w:tr>
            <w:tr w:rsidR="00F156B2" w14:paraId="1249CD47" w14:textId="77777777" w:rsidTr="004D6E0A">
              <w:trPr>
                <w:trHeight w:val="40"/>
              </w:trPr>
              <w:tc>
                <w:tcPr>
                  <w:tcW w:w="1413" w:type="dxa"/>
                  <w:tcBorders>
                    <w:top w:val="single" w:sz="4" w:space="0" w:color="auto"/>
                    <w:left w:val="single" w:sz="4" w:space="0" w:color="auto"/>
                    <w:bottom w:val="single" w:sz="4" w:space="0" w:color="auto"/>
                    <w:right w:val="single" w:sz="4" w:space="0" w:color="auto"/>
                  </w:tcBorders>
                  <w:hideMark/>
                </w:tcPr>
                <w:p w14:paraId="528E5A10"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Year 11</w:t>
                  </w:r>
                </w:p>
              </w:tc>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A21F4F3"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2.39</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3BEDFA6"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2.34</w:t>
                  </w:r>
                </w:p>
              </w:tc>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C96C730"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2.38</w:t>
                  </w:r>
                </w:p>
              </w:tc>
              <w:tc>
                <w:tcPr>
                  <w:tcW w:w="212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F6434C9" w14:textId="77777777" w:rsidR="00F156B2" w:rsidRDefault="00F156B2" w:rsidP="00F156B2">
                  <w:pPr>
                    <w:spacing w:before="60" w:after="120"/>
                    <w:ind w:right="57"/>
                    <w:jc w:val="both"/>
                    <w:rPr>
                      <w:rFonts w:ascii="Century Gothic" w:hAnsi="Century Gothic"/>
                      <w:sz w:val="22"/>
                      <w:szCs w:val="22"/>
                    </w:rPr>
                  </w:pPr>
                  <w:r>
                    <w:rPr>
                      <w:rFonts w:ascii="Century Gothic" w:hAnsi="Century Gothic"/>
                      <w:sz w:val="22"/>
                      <w:szCs w:val="22"/>
                    </w:rPr>
                    <w:t>2.34</w:t>
                  </w:r>
                </w:p>
              </w:tc>
            </w:tr>
          </w:tbl>
          <w:p w14:paraId="3454D07F" w14:textId="77777777" w:rsidR="00F156B2" w:rsidRDefault="00F156B2" w:rsidP="00F156B2">
            <w:pPr>
              <w:spacing w:before="60" w:after="120"/>
              <w:ind w:right="57"/>
              <w:jc w:val="both"/>
              <w:rPr>
                <w:rFonts w:ascii="Century Gothic" w:hAnsi="Century Gothic"/>
                <w:sz w:val="22"/>
                <w:szCs w:val="22"/>
              </w:rPr>
            </w:pPr>
          </w:p>
          <w:p w14:paraId="4B3D90B1" w14:textId="111CE74D" w:rsidR="00F156B2" w:rsidRDefault="00F156B2" w:rsidP="00F156B2">
            <w:pPr>
              <w:suppressAutoHyphens w:val="0"/>
              <w:autoSpaceDN/>
              <w:spacing w:after="160" w:line="259" w:lineRule="auto"/>
              <w:jc w:val="both"/>
              <w:rPr>
                <w:rFonts w:ascii="Century Gothic" w:hAnsi="Century Gothic"/>
              </w:rPr>
            </w:pPr>
          </w:p>
          <w:p w14:paraId="55F1AA7F" w14:textId="34F17C18" w:rsidR="00F156B2" w:rsidRDefault="0093017F" w:rsidP="00F156B2">
            <w:pPr>
              <w:jc w:val="both"/>
              <w:rPr>
                <w:rFonts w:ascii="Century Gothic" w:hAnsi="Century Gothic"/>
                <w:sz w:val="22"/>
                <w:szCs w:val="22"/>
              </w:rPr>
            </w:pPr>
            <w:r>
              <w:rPr>
                <w:rFonts w:ascii="Century Gothic" w:hAnsi="Century Gothic"/>
                <w:sz w:val="22"/>
                <w:szCs w:val="22"/>
              </w:rPr>
              <w:t>There was a</w:t>
            </w:r>
            <w:r w:rsidR="00F156B2">
              <w:rPr>
                <w:rFonts w:ascii="Century Gothic" w:hAnsi="Century Gothic"/>
                <w:sz w:val="22"/>
                <w:szCs w:val="22"/>
              </w:rPr>
              <w:t xml:space="preserve"> reduction in referrals/exclusion</w:t>
            </w:r>
            <w:r>
              <w:rPr>
                <w:rFonts w:ascii="Century Gothic" w:hAnsi="Century Gothic"/>
                <w:sz w:val="22"/>
                <w:szCs w:val="22"/>
              </w:rPr>
              <w:t>s for interracial aggression and a</w:t>
            </w:r>
            <w:r w:rsidR="00F156B2">
              <w:rPr>
                <w:rFonts w:ascii="Century Gothic" w:hAnsi="Century Gothic"/>
                <w:sz w:val="22"/>
                <w:szCs w:val="22"/>
              </w:rPr>
              <w:t xml:space="preserve"> significant reduction in aggression and violence between different ethnic groups. Racism remains infrequent as does peer on peer abuse and bullying. Most children say they feel safe in school. The atmosphere at social times is calm and more cohesive. </w:t>
            </w:r>
          </w:p>
          <w:p w14:paraId="68F466F9" w14:textId="77777777" w:rsidR="00F156B2" w:rsidRPr="00F156B2" w:rsidRDefault="00F156B2" w:rsidP="00F156B2">
            <w:pPr>
              <w:jc w:val="both"/>
              <w:rPr>
                <w:rFonts w:ascii="Century Gothic" w:hAnsi="Century Gothic"/>
                <w:sz w:val="22"/>
                <w:szCs w:val="22"/>
              </w:rPr>
            </w:pPr>
            <w:r w:rsidRPr="00F156B2">
              <w:rPr>
                <w:rFonts w:ascii="Century Gothic" w:hAnsi="Century Gothic"/>
                <w:sz w:val="22"/>
                <w:szCs w:val="22"/>
              </w:rPr>
              <w:t>Reduction of 1.93% in gap between Whole school PP and Non PP attendance compared to last year.</w:t>
            </w:r>
          </w:p>
          <w:p w14:paraId="6057E66D" w14:textId="6A343EC7" w:rsidR="00F156B2" w:rsidRPr="00F156B2" w:rsidRDefault="00F156B2" w:rsidP="00F156B2">
            <w:pPr>
              <w:jc w:val="both"/>
              <w:rPr>
                <w:rFonts w:ascii="Century Gothic" w:hAnsi="Century Gothic"/>
                <w:sz w:val="22"/>
                <w:szCs w:val="22"/>
              </w:rPr>
            </w:pPr>
            <w:r w:rsidRPr="00F156B2">
              <w:rPr>
                <w:rFonts w:ascii="Century Gothic" w:hAnsi="Century Gothic"/>
                <w:sz w:val="22"/>
                <w:szCs w:val="22"/>
              </w:rPr>
              <w:t>Increase of 2.76% for PP attendance in comparison to last year.</w:t>
            </w:r>
          </w:p>
          <w:p w14:paraId="272FC8C1" w14:textId="77777777" w:rsidR="00F156B2" w:rsidRPr="00F156B2" w:rsidRDefault="00F156B2" w:rsidP="00F156B2">
            <w:pPr>
              <w:jc w:val="both"/>
              <w:rPr>
                <w:rFonts w:ascii="Century Gothic" w:hAnsi="Century Gothic"/>
                <w:sz w:val="22"/>
                <w:szCs w:val="22"/>
              </w:rPr>
            </w:pPr>
            <w:r w:rsidRPr="00F156B2">
              <w:rPr>
                <w:rFonts w:ascii="Century Gothic" w:hAnsi="Century Gothic"/>
                <w:sz w:val="22"/>
                <w:szCs w:val="22"/>
              </w:rPr>
              <w:t>4.55% improvement in Roma PP attendance compared to last year.</w:t>
            </w:r>
          </w:p>
          <w:p w14:paraId="6F3566D5" w14:textId="77777777" w:rsidR="00F156B2" w:rsidRPr="00F156B2" w:rsidRDefault="00F156B2" w:rsidP="00F156B2">
            <w:pPr>
              <w:jc w:val="both"/>
              <w:rPr>
                <w:rFonts w:ascii="Century Gothic" w:hAnsi="Century Gothic"/>
                <w:sz w:val="22"/>
                <w:szCs w:val="22"/>
              </w:rPr>
            </w:pPr>
            <w:r w:rsidRPr="00F156B2">
              <w:rPr>
                <w:rFonts w:ascii="Century Gothic" w:hAnsi="Century Gothic"/>
                <w:sz w:val="22"/>
                <w:szCs w:val="22"/>
              </w:rPr>
              <w:t>1.55% improvement in Non Roma PP attendance compared to last year.</w:t>
            </w:r>
          </w:p>
          <w:p w14:paraId="6EB6E799" w14:textId="1E8B25D6" w:rsidR="00F156B2" w:rsidRDefault="00F156B2" w:rsidP="00F156B2">
            <w:pPr>
              <w:jc w:val="both"/>
              <w:rPr>
                <w:rFonts w:ascii="Century Gothic" w:hAnsi="Century Gothic"/>
                <w:sz w:val="22"/>
                <w:szCs w:val="22"/>
              </w:rPr>
            </w:pPr>
            <w:r w:rsidRPr="00F156B2">
              <w:rPr>
                <w:rFonts w:ascii="Century Gothic" w:hAnsi="Century Gothic"/>
                <w:sz w:val="22"/>
                <w:szCs w:val="22"/>
              </w:rPr>
              <w:t>3% reduction in gap between Roma PP student attendance and Non Roma PP student attendance in comparison to last year.</w:t>
            </w:r>
          </w:p>
          <w:p w14:paraId="2A7D5546" w14:textId="6F9EACFE" w:rsidR="00310297" w:rsidRPr="00E82DFA" w:rsidRDefault="0093017F" w:rsidP="00E82DFA">
            <w:pPr>
              <w:jc w:val="both"/>
              <w:rPr>
                <w:rFonts w:ascii="Century Gothic" w:hAnsi="Century Gothic"/>
                <w:sz w:val="22"/>
                <w:szCs w:val="22"/>
              </w:rPr>
            </w:pPr>
            <w:r>
              <w:rPr>
                <w:rFonts w:ascii="Century Gothic" w:hAnsi="Century Gothic"/>
                <w:sz w:val="22"/>
                <w:szCs w:val="22"/>
              </w:rPr>
              <w:t>The P8 gap between PP students and all stu</w:t>
            </w:r>
            <w:r w:rsidR="00E82DFA">
              <w:rPr>
                <w:rFonts w:ascii="Century Gothic" w:hAnsi="Century Gothic"/>
                <w:sz w:val="22"/>
                <w:szCs w:val="22"/>
              </w:rPr>
              <w:t>dents reduced from 0.37 to 0.27</w:t>
            </w:r>
          </w:p>
        </w:tc>
      </w:tr>
      <w:bookmarkEnd w:id="14"/>
      <w:bookmarkEnd w:id="15"/>
      <w:bookmarkEnd w:id="16"/>
    </w:tbl>
    <w:p w14:paraId="044494BF" w14:textId="5C4184C1" w:rsidR="0093017F" w:rsidRDefault="0093017F"/>
    <w:sectPr w:rsidR="0093017F" w:rsidSect="00F618A2">
      <w:footerReference w:type="default" r:id="rId10"/>
      <w:pgSz w:w="11906" w:h="16838"/>
      <w:pgMar w:top="1134" w:right="1276"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7241D" w14:textId="77777777" w:rsidR="0093017F" w:rsidRDefault="0093017F">
      <w:pPr>
        <w:spacing w:after="0" w:line="240" w:lineRule="auto"/>
      </w:pPr>
      <w:r>
        <w:separator/>
      </w:r>
    </w:p>
  </w:endnote>
  <w:endnote w:type="continuationSeparator" w:id="0">
    <w:p w14:paraId="3B77283D" w14:textId="77777777" w:rsidR="0093017F" w:rsidRDefault="0093017F">
      <w:pPr>
        <w:spacing w:after="0" w:line="240" w:lineRule="auto"/>
      </w:pPr>
      <w:r>
        <w:continuationSeparator/>
      </w:r>
    </w:p>
  </w:endnote>
  <w:endnote w:type="continuationNotice" w:id="1">
    <w:p w14:paraId="3530D28E" w14:textId="77777777" w:rsidR="0093017F" w:rsidRDefault="00930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ED9C528" w:rsidR="0093017F" w:rsidRDefault="0093017F">
    <w:pPr>
      <w:pStyle w:val="Footer"/>
      <w:ind w:firstLine="4513"/>
    </w:pPr>
    <w:r>
      <w:fldChar w:fldCharType="begin"/>
    </w:r>
    <w:r>
      <w:instrText xml:space="preserve"> PAGE </w:instrText>
    </w:r>
    <w:r>
      <w:fldChar w:fldCharType="separate"/>
    </w:r>
    <w:r w:rsidR="00E82DF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21E7C" w14:textId="77777777" w:rsidR="0093017F" w:rsidRDefault="0093017F">
      <w:pPr>
        <w:spacing w:after="0" w:line="240" w:lineRule="auto"/>
      </w:pPr>
      <w:r>
        <w:separator/>
      </w:r>
    </w:p>
  </w:footnote>
  <w:footnote w:type="continuationSeparator" w:id="0">
    <w:p w14:paraId="42C6CD26" w14:textId="77777777" w:rsidR="0093017F" w:rsidRDefault="0093017F">
      <w:pPr>
        <w:spacing w:after="0" w:line="240" w:lineRule="auto"/>
      </w:pPr>
      <w:r>
        <w:continuationSeparator/>
      </w:r>
    </w:p>
  </w:footnote>
  <w:footnote w:type="continuationNotice" w:id="1">
    <w:p w14:paraId="56B20E19" w14:textId="77777777" w:rsidR="0093017F" w:rsidRDefault="009301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156A"/>
    <w:multiLevelType w:val="hybridMultilevel"/>
    <w:tmpl w:val="41F49DC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9592B"/>
    <w:multiLevelType w:val="hybridMultilevel"/>
    <w:tmpl w:val="3A76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CCD27B1"/>
    <w:multiLevelType w:val="hybridMultilevel"/>
    <w:tmpl w:val="DA90807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BB0B72"/>
    <w:multiLevelType w:val="hybridMultilevel"/>
    <w:tmpl w:val="7B4EF30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4800497"/>
    <w:multiLevelType w:val="hybridMultilevel"/>
    <w:tmpl w:val="6DB4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D3F3C"/>
    <w:multiLevelType w:val="hybridMultilevel"/>
    <w:tmpl w:val="698EF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D26892"/>
    <w:multiLevelType w:val="hybridMultilevel"/>
    <w:tmpl w:val="E45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51AEF"/>
    <w:multiLevelType w:val="hybridMultilevel"/>
    <w:tmpl w:val="D06E9EA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8" w15:restartNumberingAfterBreak="0">
    <w:nsid w:val="5DFF5B4A"/>
    <w:multiLevelType w:val="hybridMultilevel"/>
    <w:tmpl w:val="48E02B82"/>
    <w:lvl w:ilvl="0" w:tplc="85CEAE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3384"/>
    <w:multiLevelType w:val="hybridMultilevel"/>
    <w:tmpl w:val="3658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0DC6BCC"/>
    <w:multiLevelType w:val="hybridMultilevel"/>
    <w:tmpl w:val="6B5E810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7CA4D55"/>
    <w:multiLevelType w:val="hybridMultilevel"/>
    <w:tmpl w:val="1BF87C10"/>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num w:numId="1">
    <w:abstractNumId w:val="9"/>
  </w:num>
  <w:num w:numId="2">
    <w:abstractNumId w:val="6"/>
  </w:num>
  <w:num w:numId="3">
    <w:abstractNumId w:val="10"/>
  </w:num>
  <w:num w:numId="4">
    <w:abstractNumId w:val="11"/>
  </w:num>
  <w:num w:numId="5">
    <w:abstractNumId w:val="3"/>
  </w:num>
  <w:num w:numId="6">
    <w:abstractNumId w:val="13"/>
  </w:num>
  <w:num w:numId="7">
    <w:abstractNumId w:val="22"/>
  </w:num>
  <w:num w:numId="8">
    <w:abstractNumId w:val="28"/>
  </w:num>
  <w:num w:numId="9">
    <w:abstractNumId w:val="26"/>
  </w:num>
  <w:num w:numId="10">
    <w:abstractNumId w:val="23"/>
  </w:num>
  <w:num w:numId="11">
    <w:abstractNumId w:val="7"/>
  </w:num>
  <w:num w:numId="12">
    <w:abstractNumId w:val="27"/>
  </w:num>
  <w:num w:numId="13">
    <w:abstractNumId w:val="20"/>
  </w:num>
  <w:num w:numId="14">
    <w:abstractNumId w:val="16"/>
  </w:num>
  <w:num w:numId="15">
    <w:abstractNumId w:val="4"/>
  </w:num>
  <w:num w:numId="16">
    <w:abstractNumId w:val="25"/>
  </w:num>
  <w:num w:numId="17">
    <w:abstractNumId w:val="5"/>
  </w:num>
  <w:num w:numId="18">
    <w:abstractNumId w:val="29"/>
  </w:num>
  <w:num w:numId="19">
    <w:abstractNumId w:val="21"/>
  </w:num>
  <w:num w:numId="20">
    <w:abstractNumId w:val="1"/>
  </w:num>
  <w:num w:numId="21">
    <w:abstractNumId w:val="12"/>
  </w:num>
  <w:num w:numId="22">
    <w:abstractNumId w:val="17"/>
  </w:num>
  <w:num w:numId="23">
    <w:abstractNumId w:val="0"/>
  </w:num>
  <w:num w:numId="24">
    <w:abstractNumId w:val="14"/>
  </w:num>
  <w:num w:numId="25">
    <w:abstractNumId w:val="24"/>
  </w:num>
  <w:num w:numId="26">
    <w:abstractNumId w:val="2"/>
  </w:num>
  <w:num w:numId="27">
    <w:abstractNumId w:val="18"/>
  </w:num>
  <w:num w:numId="28">
    <w:abstractNumId w:val="19"/>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1015"/>
    <w:rsid w:val="00001791"/>
    <w:rsid w:val="0000362A"/>
    <w:rsid w:val="00006EF1"/>
    <w:rsid w:val="000074CA"/>
    <w:rsid w:val="00011C89"/>
    <w:rsid w:val="0001350D"/>
    <w:rsid w:val="00016C7E"/>
    <w:rsid w:val="000228A4"/>
    <w:rsid w:val="00023E73"/>
    <w:rsid w:val="0002439E"/>
    <w:rsid w:val="00030095"/>
    <w:rsid w:val="000307D2"/>
    <w:rsid w:val="00031A6E"/>
    <w:rsid w:val="00032974"/>
    <w:rsid w:val="00032F34"/>
    <w:rsid w:val="00033073"/>
    <w:rsid w:val="00036189"/>
    <w:rsid w:val="00036BC2"/>
    <w:rsid w:val="00037AA4"/>
    <w:rsid w:val="0004076D"/>
    <w:rsid w:val="000409C7"/>
    <w:rsid w:val="00040B4E"/>
    <w:rsid w:val="000413FA"/>
    <w:rsid w:val="00041685"/>
    <w:rsid w:val="00042462"/>
    <w:rsid w:val="00042F35"/>
    <w:rsid w:val="000459A3"/>
    <w:rsid w:val="00047A97"/>
    <w:rsid w:val="00047E9C"/>
    <w:rsid w:val="00050428"/>
    <w:rsid w:val="000540D7"/>
    <w:rsid w:val="00062216"/>
    <w:rsid w:val="00063B09"/>
    <w:rsid w:val="00064DE5"/>
    <w:rsid w:val="00064F88"/>
    <w:rsid w:val="00065F13"/>
    <w:rsid w:val="00065F33"/>
    <w:rsid w:val="000664D6"/>
    <w:rsid w:val="00066B73"/>
    <w:rsid w:val="00066FC8"/>
    <w:rsid w:val="00067B20"/>
    <w:rsid w:val="000703F4"/>
    <w:rsid w:val="000720CB"/>
    <w:rsid w:val="000727A7"/>
    <w:rsid w:val="000735E7"/>
    <w:rsid w:val="00073C97"/>
    <w:rsid w:val="00073D44"/>
    <w:rsid w:val="000747A1"/>
    <w:rsid w:val="00074DBF"/>
    <w:rsid w:val="00075641"/>
    <w:rsid w:val="000802FB"/>
    <w:rsid w:val="00080F56"/>
    <w:rsid w:val="0008119B"/>
    <w:rsid w:val="00081D59"/>
    <w:rsid w:val="00081E73"/>
    <w:rsid w:val="0008503E"/>
    <w:rsid w:val="000857DA"/>
    <w:rsid w:val="00091B15"/>
    <w:rsid w:val="0009295B"/>
    <w:rsid w:val="000941DC"/>
    <w:rsid w:val="000946B4"/>
    <w:rsid w:val="0009531B"/>
    <w:rsid w:val="000974A6"/>
    <w:rsid w:val="0009773E"/>
    <w:rsid w:val="00097E2A"/>
    <w:rsid w:val="000A019A"/>
    <w:rsid w:val="000A04EE"/>
    <w:rsid w:val="000A152A"/>
    <w:rsid w:val="000A1BB9"/>
    <w:rsid w:val="000A2D0E"/>
    <w:rsid w:val="000A5154"/>
    <w:rsid w:val="000A5AFC"/>
    <w:rsid w:val="000A5C0C"/>
    <w:rsid w:val="000A61B7"/>
    <w:rsid w:val="000A7E90"/>
    <w:rsid w:val="000B056A"/>
    <w:rsid w:val="000B1C8C"/>
    <w:rsid w:val="000B21C1"/>
    <w:rsid w:val="000B2E80"/>
    <w:rsid w:val="000B39CE"/>
    <w:rsid w:val="000B445B"/>
    <w:rsid w:val="000B48EE"/>
    <w:rsid w:val="000B4E3D"/>
    <w:rsid w:val="000B52D0"/>
    <w:rsid w:val="000B764A"/>
    <w:rsid w:val="000C21DC"/>
    <w:rsid w:val="000C2603"/>
    <w:rsid w:val="000C682C"/>
    <w:rsid w:val="000C6BB1"/>
    <w:rsid w:val="000D1053"/>
    <w:rsid w:val="000D1ED8"/>
    <w:rsid w:val="000D263A"/>
    <w:rsid w:val="000D2679"/>
    <w:rsid w:val="000D3D9B"/>
    <w:rsid w:val="000D4202"/>
    <w:rsid w:val="000D4404"/>
    <w:rsid w:val="000D498D"/>
    <w:rsid w:val="000D501F"/>
    <w:rsid w:val="000D59C0"/>
    <w:rsid w:val="000D626A"/>
    <w:rsid w:val="000D6CCE"/>
    <w:rsid w:val="000E067B"/>
    <w:rsid w:val="000E1D7D"/>
    <w:rsid w:val="000E2672"/>
    <w:rsid w:val="000E309A"/>
    <w:rsid w:val="000E342F"/>
    <w:rsid w:val="000E53EF"/>
    <w:rsid w:val="000E674C"/>
    <w:rsid w:val="000F2050"/>
    <w:rsid w:val="000F51B5"/>
    <w:rsid w:val="000F5923"/>
    <w:rsid w:val="001024B3"/>
    <w:rsid w:val="0010281E"/>
    <w:rsid w:val="00102889"/>
    <w:rsid w:val="00103B56"/>
    <w:rsid w:val="00105182"/>
    <w:rsid w:val="00106A67"/>
    <w:rsid w:val="001071BE"/>
    <w:rsid w:val="001106F9"/>
    <w:rsid w:val="00110AAA"/>
    <w:rsid w:val="0011227A"/>
    <w:rsid w:val="00114D0E"/>
    <w:rsid w:val="00115C4E"/>
    <w:rsid w:val="00116794"/>
    <w:rsid w:val="00116A67"/>
    <w:rsid w:val="001206B6"/>
    <w:rsid w:val="00120AB1"/>
    <w:rsid w:val="001221AD"/>
    <w:rsid w:val="00124F74"/>
    <w:rsid w:val="0012686A"/>
    <w:rsid w:val="00126C9A"/>
    <w:rsid w:val="00127422"/>
    <w:rsid w:val="0013028D"/>
    <w:rsid w:val="0013045C"/>
    <w:rsid w:val="00130E49"/>
    <w:rsid w:val="00131ACA"/>
    <w:rsid w:val="00134362"/>
    <w:rsid w:val="00135069"/>
    <w:rsid w:val="001365B4"/>
    <w:rsid w:val="001407CC"/>
    <w:rsid w:val="00141F2D"/>
    <w:rsid w:val="001420F6"/>
    <w:rsid w:val="00143832"/>
    <w:rsid w:val="00143A41"/>
    <w:rsid w:val="00144083"/>
    <w:rsid w:val="001444F4"/>
    <w:rsid w:val="00145A01"/>
    <w:rsid w:val="001462C9"/>
    <w:rsid w:val="00147A0A"/>
    <w:rsid w:val="00147A14"/>
    <w:rsid w:val="00150283"/>
    <w:rsid w:val="0015040D"/>
    <w:rsid w:val="00150DDF"/>
    <w:rsid w:val="00152033"/>
    <w:rsid w:val="00153BF3"/>
    <w:rsid w:val="00154629"/>
    <w:rsid w:val="0015475A"/>
    <w:rsid w:val="00155BFD"/>
    <w:rsid w:val="001561E3"/>
    <w:rsid w:val="00156AB5"/>
    <w:rsid w:val="00160F5D"/>
    <w:rsid w:val="00161FB8"/>
    <w:rsid w:val="00162652"/>
    <w:rsid w:val="00164F8E"/>
    <w:rsid w:val="00165254"/>
    <w:rsid w:val="0016715F"/>
    <w:rsid w:val="00170A3E"/>
    <w:rsid w:val="00171CA8"/>
    <w:rsid w:val="00172994"/>
    <w:rsid w:val="00175112"/>
    <w:rsid w:val="001768CE"/>
    <w:rsid w:val="00176F70"/>
    <w:rsid w:val="00180190"/>
    <w:rsid w:val="00181C32"/>
    <w:rsid w:val="0018332E"/>
    <w:rsid w:val="00183CED"/>
    <w:rsid w:val="00186164"/>
    <w:rsid w:val="00186454"/>
    <w:rsid w:val="0019193B"/>
    <w:rsid w:val="0019422C"/>
    <w:rsid w:val="0019477F"/>
    <w:rsid w:val="001A0790"/>
    <w:rsid w:val="001A07BE"/>
    <w:rsid w:val="001A1788"/>
    <w:rsid w:val="001A2601"/>
    <w:rsid w:val="001A4C48"/>
    <w:rsid w:val="001A5D54"/>
    <w:rsid w:val="001A7C26"/>
    <w:rsid w:val="001B0861"/>
    <w:rsid w:val="001B1120"/>
    <w:rsid w:val="001B1336"/>
    <w:rsid w:val="001B1829"/>
    <w:rsid w:val="001B3219"/>
    <w:rsid w:val="001B6F6C"/>
    <w:rsid w:val="001C0812"/>
    <w:rsid w:val="001C09CB"/>
    <w:rsid w:val="001C57A6"/>
    <w:rsid w:val="001C6527"/>
    <w:rsid w:val="001C6758"/>
    <w:rsid w:val="001C776A"/>
    <w:rsid w:val="001D035F"/>
    <w:rsid w:val="001D0867"/>
    <w:rsid w:val="001D1180"/>
    <w:rsid w:val="001D373E"/>
    <w:rsid w:val="001D3A38"/>
    <w:rsid w:val="001D3AB2"/>
    <w:rsid w:val="001D479B"/>
    <w:rsid w:val="001D6E81"/>
    <w:rsid w:val="001E46A8"/>
    <w:rsid w:val="001F1584"/>
    <w:rsid w:val="001F2359"/>
    <w:rsid w:val="001F27E6"/>
    <w:rsid w:val="001F3FB3"/>
    <w:rsid w:val="001F40B8"/>
    <w:rsid w:val="001F4577"/>
    <w:rsid w:val="001F4891"/>
    <w:rsid w:val="001F595D"/>
    <w:rsid w:val="001F7CA2"/>
    <w:rsid w:val="002004FC"/>
    <w:rsid w:val="00204D24"/>
    <w:rsid w:val="00205F4B"/>
    <w:rsid w:val="002065F4"/>
    <w:rsid w:val="002066DE"/>
    <w:rsid w:val="00206E24"/>
    <w:rsid w:val="00210227"/>
    <w:rsid w:val="00211687"/>
    <w:rsid w:val="00211A1A"/>
    <w:rsid w:val="0021264A"/>
    <w:rsid w:val="0021418C"/>
    <w:rsid w:val="00216763"/>
    <w:rsid w:val="0021763A"/>
    <w:rsid w:val="00217732"/>
    <w:rsid w:val="00221748"/>
    <w:rsid w:val="002233AE"/>
    <w:rsid w:val="0022352B"/>
    <w:rsid w:val="00223DC8"/>
    <w:rsid w:val="00224420"/>
    <w:rsid w:val="00226A9A"/>
    <w:rsid w:val="00227C1A"/>
    <w:rsid w:val="00227CA3"/>
    <w:rsid w:val="00230E04"/>
    <w:rsid w:val="0023145C"/>
    <w:rsid w:val="002357BD"/>
    <w:rsid w:val="0024045F"/>
    <w:rsid w:val="00240EAA"/>
    <w:rsid w:val="00241319"/>
    <w:rsid w:val="00241EC4"/>
    <w:rsid w:val="00242B83"/>
    <w:rsid w:val="00243A6B"/>
    <w:rsid w:val="00244073"/>
    <w:rsid w:val="00245241"/>
    <w:rsid w:val="002456E0"/>
    <w:rsid w:val="00246780"/>
    <w:rsid w:val="00246DD9"/>
    <w:rsid w:val="0024709E"/>
    <w:rsid w:val="0024770A"/>
    <w:rsid w:val="002478D7"/>
    <w:rsid w:val="0025082E"/>
    <w:rsid w:val="00251002"/>
    <w:rsid w:val="00251372"/>
    <w:rsid w:val="00254F63"/>
    <w:rsid w:val="00255C0F"/>
    <w:rsid w:val="0025698E"/>
    <w:rsid w:val="00257F07"/>
    <w:rsid w:val="0026085C"/>
    <w:rsid w:val="0026177E"/>
    <w:rsid w:val="00262DB7"/>
    <w:rsid w:val="00263510"/>
    <w:rsid w:val="002641BB"/>
    <w:rsid w:val="00264C30"/>
    <w:rsid w:val="002661FD"/>
    <w:rsid w:val="00271514"/>
    <w:rsid w:val="002719CE"/>
    <w:rsid w:val="00272065"/>
    <w:rsid w:val="00272CE3"/>
    <w:rsid w:val="002744A8"/>
    <w:rsid w:val="00274809"/>
    <w:rsid w:val="00274E37"/>
    <w:rsid w:val="00276B84"/>
    <w:rsid w:val="002773CE"/>
    <w:rsid w:val="00277FF7"/>
    <w:rsid w:val="002815B6"/>
    <w:rsid w:val="002825F5"/>
    <w:rsid w:val="00282B32"/>
    <w:rsid w:val="002849C9"/>
    <w:rsid w:val="0028625C"/>
    <w:rsid w:val="0028660F"/>
    <w:rsid w:val="00286D85"/>
    <w:rsid w:val="00287EF0"/>
    <w:rsid w:val="002901AF"/>
    <w:rsid w:val="00291257"/>
    <w:rsid w:val="00292D0B"/>
    <w:rsid w:val="00293A39"/>
    <w:rsid w:val="0029452A"/>
    <w:rsid w:val="00294537"/>
    <w:rsid w:val="002965DF"/>
    <w:rsid w:val="002973F3"/>
    <w:rsid w:val="0029775B"/>
    <w:rsid w:val="00297B17"/>
    <w:rsid w:val="00297DE7"/>
    <w:rsid w:val="002A0E59"/>
    <w:rsid w:val="002A17E1"/>
    <w:rsid w:val="002A222F"/>
    <w:rsid w:val="002A3F7B"/>
    <w:rsid w:val="002A53C7"/>
    <w:rsid w:val="002A6291"/>
    <w:rsid w:val="002A7180"/>
    <w:rsid w:val="002A7C30"/>
    <w:rsid w:val="002B00AE"/>
    <w:rsid w:val="002B1290"/>
    <w:rsid w:val="002B1689"/>
    <w:rsid w:val="002B1AE9"/>
    <w:rsid w:val="002B218A"/>
    <w:rsid w:val="002B2297"/>
    <w:rsid w:val="002B2805"/>
    <w:rsid w:val="002B2B82"/>
    <w:rsid w:val="002B2F08"/>
    <w:rsid w:val="002B3922"/>
    <w:rsid w:val="002B4AF2"/>
    <w:rsid w:val="002B58A4"/>
    <w:rsid w:val="002B6D2B"/>
    <w:rsid w:val="002C5564"/>
    <w:rsid w:val="002C73F2"/>
    <w:rsid w:val="002D020C"/>
    <w:rsid w:val="002D02B7"/>
    <w:rsid w:val="002D077A"/>
    <w:rsid w:val="002D0D6D"/>
    <w:rsid w:val="002D0FD7"/>
    <w:rsid w:val="002D1745"/>
    <w:rsid w:val="002D2625"/>
    <w:rsid w:val="002D31F0"/>
    <w:rsid w:val="002D3D18"/>
    <w:rsid w:val="002D4754"/>
    <w:rsid w:val="002D5A89"/>
    <w:rsid w:val="002D6E56"/>
    <w:rsid w:val="002D7024"/>
    <w:rsid w:val="002E0A90"/>
    <w:rsid w:val="002E2FDE"/>
    <w:rsid w:val="002E40C1"/>
    <w:rsid w:val="002E45BC"/>
    <w:rsid w:val="002E5A71"/>
    <w:rsid w:val="002E75FC"/>
    <w:rsid w:val="002F032D"/>
    <w:rsid w:val="002F06F5"/>
    <w:rsid w:val="002F0E8B"/>
    <w:rsid w:val="002F1E70"/>
    <w:rsid w:val="002F29DB"/>
    <w:rsid w:val="002F3D8A"/>
    <w:rsid w:val="002F541A"/>
    <w:rsid w:val="002F5FF9"/>
    <w:rsid w:val="00300223"/>
    <w:rsid w:val="003006B8"/>
    <w:rsid w:val="0030099F"/>
    <w:rsid w:val="00300A47"/>
    <w:rsid w:val="003010EE"/>
    <w:rsid w:val="003023AB"/>
    <w:rsid w:val="00302431"/>
    <w:rsid w:val="003054E6"/>
    <w:rsid w:val="003058B9"/>
    <w:rsid w:val="003079B2"/>
    <w:rsid w:val="00310188"/>
    <w:rsid w:val="003101E9"/>
    <w:rsid w:val="00310297"/>
    <w:rsid w:val="0031425B"/>
    <w:rsid w:val="0031600B"/>
    <w:rsid w:val="00316E3A"/>
    <w:rsid w:val="00320514"/>
    <w:rsid w:val="0032188A"/>
    <w:rsid w:val="003219FD"/>
    <w:rsid w:val="00324F1B"/>
    <w:rsid w:val="00326644"/>
    <w:rsid w:val="0032715F"/>
    <w:rsid w:val="0033434D"/>
    <w:rsid w:val="00335674"/>
    <w:rsid w:val="003363EA"/>
    <w:rsid w:val="00337860"/>
    <w:rsid w:val="00337B62"/>
    <w:rsid w:val="00340547"/>
    <w:rsid w:val="00340B28"/>
    <w:rsid w:val="0034234A"/>
    <w:rsid w:val="00342975"/>
    <w:rsid w:val="00343E41"/>
    <w:rsid w:val="00347130"/>
    <w:rsid w:val="00347586"/>
    <w:rsid w:val="003479B9"/>
    <w:rsid w:val="00350095"/>
    <w:rsid w:val="00350E63"/>
    <w:rsid w:val="00351955"/>
    <w:rsid w:val="00355721"/>
    <w:rsid w:val="00355BBF"/>
    <w:rsid w:val="003604C7"/>
    <w:rsid w:val="00360D80"/>
    <w:rsid w:val="00360F80"/>
    <w:rsid w:val="00361F51"/>
    <w:rsid w:val="003623E5"/>
    <w:rsid w:val="00364153"/>
    <w:rsid w:val="00365955"/>
    <w:rsid w:val="0037041A"/>
    <w:rsid w:val="00370D73"/>
    <w:rsid w:val="00371B7D"/>
    <w:rsid w:val="00373A92"/>
    <w:rsid w:val="003744CB"/>
    <w:rsid w:val="0037559E"/>
    <w:rsid w:val="0037703F"/>
    <w:rsid w:val="003774DA"/>
    <w:rsid w:val="00381374"/>
    <w:rsid w:val="00381C26"/>
    <w:rsid w:val="00383879"/>
    <w:rsid w:val="00385350"/>
    <w:rsid w:val="00386D28"/>
    <w:rsid w:val="0039079A"/>
    <w:rsid w:val="003943EE"/>
    <w:rsid w:val="0039459A"/>
    <w:rsid w:val="0039488C"/>
    <w:rsid w:val="003949AA"/>
    <w:rsid w:val="00395834"/>
    <w:rsid w:val="003A45FA"/>
    <w:rsid w:val="003A5D10"/>
    <w:rsid w:val="003B01FA"/>
    <w:rsid w:val="003B09CE"/>
    <w:rsid w:val="003B0DA0"/>
    <w:rsid w:val="003B2072"/>
    <w:rsid w:val="003B266E"/>
    <w:rsid w:val="003B4F98"/>
    <w:rsid w:val="003B6422"/>
    <w:rsid w:val="003B6847"/>
    <w:rsid w:val="003B77AE"/>
    <w:rsid w:val="003C1E3A"/>
    <w:rsid w:val="003C24FC"/>
    <w:rsid w:val="003C2AFC"/>
    <w:rsid w:val="003C38A5"/>
    <w:rsid w:val="003C39B5"/>
    <w:rsid w:val="003C3B00"/>
    <w:rsid w:val="003C52E5"/>
    <w:rsid w:val="003C7FA2"/>
    <w:rsid w:val="003D59B8"/>
    <w:rsid w:val="003D5E64"/>
    <w:rsid w:val="003D66E4"/>
    <w:rsid w:val="003E0D6B"/>
    <w:rsid w:val="003E1AE8"/>
    <w:rsid w:val="003E26F4"/>
    <w:rsid w:val="003E2D5C"/>
    <w:rsid w:val="003E3584"/>
    <w:rsid w:val="003E3C86"/>
    <w:rsid w:val="003E65D7"/>
    <w:rsid w:val="003E7506"/>
    <w:rsid w:val="003E7CF8"/>
    <w:rsid w:val="003F036D"/>
    <w:rsid w:val="003F1250"/>
    <w:rsid w:val="003F1EA5"/>
    <w:rsid w:val="003F54F0"/>
    <w:rsid w:val="003F5864"/>
    <w:rsid w:val="003F70C7"/>
    <w:rsid w:val="003F713F"/>
    <w:rsid w:val="00400C4B"/>
    <w:rsid w:val="00401840"/>
    <w:rsid w:val="004044AA"/>
    <w:rsid w:val="004046B4"/>
    <w:rsid w:val="00404BAD"/>
    <w:rsid w:val="0040704F"/>
    <w:rsid w:val="00410503"/>
    <w:rsid w:val="004106F6"/>
    <w:rsid w:val="00411E7E"/>
    <w:rsid w:val="00412336"/>
    <w:rsid w:val="00413068"/>
    <w:rsid w:val="00413685"/>
    <w:rsid w:val="00414F80"/>
    <w:rsid w:val="004231F6"/>
    <w:rsid w:val="0042324D"/>
    <w:rsid w:val="00427D89"/>
    <w:rsid w:val="004309DB"/>
    <w:rsid w:val="004312B3"/>
    <w:rsid w:val="0043301B"/>
    <w:rsid w:val="0043360E"/>
    <w:rsid w:val="00442BC6"/>
    <w:rsid w:val="004430AC"/>
    <w:rsid w:val="00443DEA"/>
    <w:rsid w:val="00444BC8"/>
    <w:rsid w:val="00446873"/>
    <w:rsid w:val="004478B2"/>
    <w:rsid w:val="00447FC7"/>
    <w:rsid w:val="00451847"/>
    <w:rsid w:val="004519A5"/>
    <w:rsid w:val="00453932"/>
    <w:rsid w:val="00453991"/>
    <w:rsid w:val="00453BC5"/>
    <w:rsid w:val="004546E5"/>
    <w:rsid w:val="00454A29"/>
    <w:rsid w:val="00454B31"/>
    <w:rsid w:val="004553EF"/>
    <w:rsid w:val="004567C5"/>
    <w:rsid w:val="00460EA6"/>
    <w:rsid w:val="004612E8"/>
    <w:rsid w:val="004626A3"/>
    <w:rsid w:val="0046619A"/>
    <w:rsid w:val="0046790B"/>
    <w:rsid w:val="00471079"/>
    <w:rsid w:val="00473DF3"/>
    <w:rsid w:val="00473F1F"/>
    <w:rsid w:val="00476DA3"/>
    <w:rsid w:val="00481A50"/>
    <w:rsid w:val="00482AF4"/>
    <w:rsid w:val="00482B60"/>
    <w:rsid w:val="00484CC5"/>
    <w:rsid w:val="00484D59"/>
    <w:rsid w:val="0048538A"/>
    <w:rsid w:val="004855A8"/>
    <w:rsid w:val="00486457"/>
    <w:rsid w:val="004879C8"/>
    <w:rsid w:val="00493512"/>
    <w:rsid w:val="00493732"/>
    <w:rsid w:val="00497ED2"/>
    <w:rsid w:val="004A2305"/>
    <w:rsid w:val="004A380A"/>
    <w:rsid w:val="004A4E5C"/>
    <w:rsid w:val="004A539E"/>
    <w:rsid w:val="004A5D6B"/>
    <w:rsid w:val="004A637E"/>
    <w:rsid w:val="004A6BCA"/>
    <w:rsid w:val="004A75C3"/>
    <w:rsid w:val="004B0B4A"/>
    <w:rsid w:val="004B112A"/>
    <w:rsid w:val="004B60E8"/>
    <w:rsid w:val="004C06CE"/>
    <w:rsid w:val="004C0BF4"/>
    <w:rsid w:val="004C24C6"/>
    <w:rsid w:val="004C24F2"/>
    <w:rsid w:val="004C3197"/>
    <w:rsid w:val="004C50F2"/>
    <w:rsid w:val="004C577A"/>
    <w:rsid w:val="004C5ECF"/>
    <w:rsid w:val="004C6740"/>
    <w:rsid w:val="004C7669"/>
    <w:rsid w:val="004C78D4"/>
    <w:rsid w:val="004D130F"/>
    <w:rsid w:val="004D16A7"/>
    <w:rsid w:val="004D1812"/>
    <w:rsid w:val="004D1F21"/>
    <w:rsid w:val="004D2145"/>
    <w:rsid w:val="004D2731"/>
    <w:rsid w:val="004D297F"/>
    <w:rsid w:val="004D4354"/>
    <w:rsid w:val="004D59F5"/>
    <w:rsid w:val="004D6E0A"/>
    <w:rsid w:val="004D727C"/>
    <w:rsid w:val="004D7DBA"/>
    <w:rsid w:val="004E4300"/>
    <w:rsid w:val="004E5E19"/>
    <w:rsid w:val="004F08DF"/>
    <w:rsid w:val="004F1198"/>
    <w:rsid w:val="004F1889"/>
    <w:rsid w:val="004F34DF"/>
    <w:rsid w:val="004F3F35"/>
    <w:rsid w:val="004F44D1"/>
    <w:rsid w:val="004F4BFB"/>
    <w:rsid w:val="004F4D63"/>
    <w:rsid w:val="004F7C05"/>
    <w:rsid w:val="005000D9"/>
    <w:rsid w:val="00503673"/>
    <w:rsid w:val="00504BC1"/>
    <w:rsid w:val="00505136"/>
    <w:rsid w:val="00506BB4"/>
    <w:rsid w:val="005107D1"/>
    <w:rsid w:val="00511478"/>
    <w:rsid w:val="00511C2E"/>
    <w:rsid w:val="00514BB2"/>
    <w:rsid w:val="00514CF9"/>
    <w:rsid w:val="00515DF5"/>
    <w:rsid w:val="0051791D"/>
    <w:rsid w:val="00521385"/>
    <w:rsid w:val="005217DA"/>
    <w:rsid w:val="00522A68"/>
    <w:rsid w:val="00522E94"/>
    <w:rsid w:val="00524C82"/>
    <w:rsid w:val="0052590F"/>
    <w:rsid w:val="00525F5E"/>
    <w:rsid w:val="00526455"/>
    <w:rsid w:val="005265C1"/>
    <w:rsid w:val="00526CB2"/>
    <w:rsid w:val="00527060"/>
    <w:rsid w:val="005316E9"/>
    <w:rsid w:val="00533EA6"/>
    <w:rsid w:val="0053412E"/>
    <w:rsid w:val="00541C8F"/>
    <w:rsid w:val="00542D26"/>
    <w:rsid w:val="00543202"/>
    <w:rsid w:val="00543DA1"/>
    <w:rsid w:val="005451DE"/>
    <w:rsid w:val="005456B2"/>
    <w:rsid w:val="0054602D"/>
    <w:rsid w:val="00546442"/>
    <w:rsid w:val="00550553"/>
    <w:rsid w:val="00550EB9"/>
    <w:rsid w:val="00550EE9"/>
    <w:rsid w:val="00551A71"/>
    <w:rsid w:val="00552614"/>
    <w:rsid w:val="00553A71"/>
    <w:rsid w:val="005545BB"/>
    <w:rsid w:val="00554B45"/>
    <w:rsid w:val="00556D79"/>
    <w:rsid w:val="00560377"/>
    <w:rsid w:val="00561061"/>
    <w:rsid w:val="00562077"/>
    <w:rsid w:val="005649D6"/>
    <w:rsid w:val="00564EB8"/>
    <w:rsid w:val="00564FBE"/>
    <w:rsid w:val="005671EE"/>
    <w:rsid w:val="00567AB2"/>
    <w:rsid w:val="00570A0E"/>
    <w:rsid w:val="0057472B"/>
    <w:rsid w:val="005758A1"/>
    <w:rsid w:val="00575A71"/>
    <w:rsid w:val="005763AA"/>
    <w:rsid w:val="00576D14"/>
    <w:rsid w:val="00577A8B"/>
    <w:rsid w:val="00582186"/>
    <w:rsid w:val="00582644"/>
    <w:rsid w:val="00582DD7"/>
    <w:rsid w:val="00586837"/>
    <w:rsid w:val="00587E63"/>
    <w:rsid w:val="00591EDE"/>
    <w:rsid w:val="00592DCC"/>
    <w:rsid w:val="00594B50"/>
    <w:rsid w:val="0059673D"/>
    <w:rsid w:val="005973A0"/>
    <w:rsid w:val="005A153D"/>
    <w:rsid w:val="005A1B02"/>
    <w:rsid w:val="005A2D5B"/>
    <w:rsid w:val="005A3BA0"/>
    <w:rsid w:val="005A58B5"/>
    <w:rsid w:val="005A6759"/>
    <w:rsid w:val="005B0F92"/>
    <w:rsid w:val="005B1843"/>
    <w:rsid w:val="005B26B3"/>
    <w:rsid w:val="005B7C34"/>
    <w:rsid w:val="005C05E4"/>
    <w:rsid w:val="005C1DD2"/>
    <w:rsid w:val="005C3036"/>
    <w:rsid w:val="005C3EC2"/>
    <w:rsid w:val="005C4818"/>
    <w:rsid w:val="005C5FA9"/>
    <w:rsid w:val="005C6A97"/>
    <w:rsid w:val="005C6EB6"/>
    <w:rsid w:val="005C7C94"/>
    <w:rsid w:val="005D4141"/>
    <w:rsid w:val="005D4D2F"/>
    <w:rsid w:val="005D5ED2"/>
    <w:rsid w:val="005D7A1E"/>
    <w:rsid w:val="005E034A"/>
    <w:rsid w:val="005E0912"/>
    <w:rsid w:val="005E09E9"/>
    <w:rsid w:val="005E1245"/>
    <w:rsid w:val="005E2C34"/>
    <w:rsid w:val="005E3360"/>
    <w:rsid w:val="005E4A2E"/>
    <w:rsid w:val="005E4BB9"/>
    <w:rsid w:val="005E5426"/>
    <w:rsid w:val="005E74B0"/>
    <w:rsid w:val="005E79CD"/>
    <w:rsid w:val="005F104D"/>
    <w:rsid w:val="005F2253"/>
    <w:rsid w:val="005F328D"/>
    <w:rsid w:val="005F3723"/>
    <w:rsid w:val="005F73BF"/>
    <w:rsid w:val="005F7619"/>
    <w:rsid w:val="006029F2"/>
    <w:rsid w:val="00603879"/>
    <w:rsid w:val="00603914"/>
    <w:rsid w:val="006050C1"/>
    <w:rsid w:val="0060737F"/>
    <w:rsid w:val="00607A21"/>
    <w:rsid w:val="006103FC"/>
    <w:rsid w:val="00614531"/>
    <w:rsid w:val="00614F54"/>
    <w:rsid w:val="00615293"/>
    <w:rsid w:val="00615FF8"/>
    <w:rsid w:val="00621FB1"/>
    <w:rsid w:val="006223F3"/>
    <w:rsid w:val="00625C3D"/>
    <w:rsid w:val="00625EF8"/>
    <w:rsid w:val="006271F2"/>
    <w:rsid w:val="00627E0D"/>
    <w:rsid w:val="006315CC"/>
    <w:rsid w:val="00632536"/>
    <w:rsid w:val="006336F0"/>
    <w:rsid w:val="00633C53"/>
    <w:rsid w:val="006351EF"/>
    <w:rsid w:val="006362D8"/>
    <w:rsid w:val="006401A7"/>
    <w:rsid w:val="0064125F"/>
    <w:rsid w:val="00641857"/>
    <w:rsid w:val="00641A42"/>
    <w:rsid w:val="006429E9"/>
    <w:rsid w:val="0064571F"/>
    <w:rsid w:val="00645897"/>
    <w:rsid w:val="00646D7E"/>
    <w:rsid w:val="00647C3E"/>
    <w:rsid w:val="0065030A"/>
    <w:rsid w:val="00651BC7"/>
    <w:rsid w:val="00652B76"/>
    <w:rsid w:val="006538FB"/>
    <w:rsid w:val="0065395D"/>
    <w:rsid w:val="00653D9F"/>
    <w:rsid w:val="00654891"/>
    <w:rsid w:val="00656DF1"/>
    <w:rsid w:val="0066324E"/>
    <w:rsid w:val="00663FDD"/>
    <w:rsid w:val="00664357"/>
    <w:rsid w:val="00664C1C"/>
    <w:rsid w:val="00665FF7"/>
    <w:rsid w:val="006679D3"/>
    <w:rsid w:val="006713B5"/>
    <w:rsid w:val="00671F03"/>
    <w:rsid w:val="006741A8"/>
    <w:rsid w:val="006743E1"/>
    <w:rsid w:val="006770D1"/>
    <w:rsid w:val="00680153"/>
    <w:rsid w:val="00680BAD"/>
    <w:rsid w:val="006819D3"/>
    <w:rsid w:val="00681F46"/>
    <w:rsid w:val="00682D8A"/>
    <w:rsid w:val="00683AF6"/>
    <w:rsid w:val="006846BE"/>
    <w:rsid w:val="00685564"/>
    <w:rsid w:val="006862E3"/>
    <w:rsid w:val="00687692"/>
    <w:rsid w:val="00687A98"/>
    <w:rsid w:val="00691884"/>
    <w:rsid w:val="00691F7C"/>
    <w:rsid w:val="006933B7"/>
    <w:rsid w:val="006942DE"/>
    <w:rsid w:val="00694C65"/>
    <w:rsid w:val="0069568F"/>
    <w:rsid w:val="00696693"/>
    <w:rsid w:val="00696C0B"/>
    <w:rsid w:val="006A1EF6"/>
    <w:rsid w:val="006A601F"/>
    <w:rsid w:val="006A75DB"/>
    <w:rsid w:val="006B1DFF"/>
    <w:rsid w:val="006B3072"/>
    <w:rsid w:val="006B360C"/>
    <w:rsid w:val="006B45DB"/>
    <w:rsid w:val="006B51F6"/>
    <w:rsid w:val="006B56D2"/>
    <w:rsid w:val="006B7195"/>
    <w:rsid w:val="006B7A58"/>
    <w:rsid w:val="006C23F7"/>
    <w:rsid w:val="006C24C1"/>
    <w:rsid w:val="006C2901"/>
    <w:rsid w:val="006C37B9"/>
    <w:rsid w:val="006C3CB1"/>
    <w:rsid w:val="006C4F08"/>
    <w:rsid w:val="006C6D39"/>
    <w:rsid w:val="006C73DB"/>
    <w:rsid w:val="006D0A1F"/>
    <w:rsid w:val="006D0B9E"/>
    <w:rsid w:val="006D2063"/>
    <w:rsid w:val="006D26DB"/>
    <w:rsid w:val="006D3079"/>
    <w:rsid w:val="006D3438"/>
    <w:rsid w:val="006D519F"/>
    <w:rsid w:val="006D5619"/>
    <w:rsid w:val="006D59F4"/>
    <w:rsid w:val="006D5FC1"/>
    <w:rsid w:val="006D6041"/>
    <w:rsid w:val="006D62DD"/>
    <w:rsid w:val="006D6C6E"/>
    <w:rsid w:val="006D707E"/>
    <w:rsid w:val="006D779B"/>
    <w:rsid w:val="006E1318"/>
    <w:rsid w:val="006E184E"/>
    <w:rsid w:val="006E7FB1"/>
    <w:rsid w:val="006F0631"/>
    <w:rsid w:val="006F14A8"/>
    <w:rsid w:val="006F259C"/>
    <w:rsid w:val="006F586E"/>
    <w:rsid w:val="00700739"/>
    <w:rsid w:val="0070123A"/>
    <w:rsid w:val="00705D3C"/>
    <w:rsid w:val="00710259"/>
    <w:rsid w:val="00713FC9"/>
    <w:rsid w:val="007144A8"/>
    <w:rsid w:val="00714D05"/>
    <w:rsid w:val="00716089"/>
    <w:rsid w:val="0072414A"/>
    <w:rsid w:val="00724FF2"/>
    <w:rsid w:val="00725283"/>
    <w:rsid w:val="0072693D"/>
    <w:rsid w:val="00726AD7"/>
    <w:rsid w:val="0072700A"/>
    <w:rsid w:val="00727778"/>
    <w:rsid w:val="0073064E"/>
    <w:rsid w:val="007320D1"/>
    <w:rsid w:val="0073253C"/>
    <w:rsid w:val="007336E4"/>
    <w:rsid w:val="00733C9B"/>
    <w:rsid w:val="00735C9E"/>
    <w:rsid w:val="007368B1"/>
    <w:rsid w:val="00737F96"/>
    <w:rsid w:val="00740FC5"/>
    <w:rsid w:val="00741AA5"/>
    <w:rsid w:val="00741B9E"/>
    <w:rsid w:val="00742192"/>
    <w:rsid w:val="0074506D"/>
    <w:rsid w:val="00751032"/>
    <w:rsid w:val="00753BF0"/>
    <w:rsid w:val="00755836"/>
    <w:rsid w:val="00756C9B"/>
    <w:rsid w:val="007571B4"/>
    <w:rsid w:val="00761E6A"/>
    <w:rsid w:val="0076254C"/>
    <w:rsid w:val="007628B8"/>
    <w:rsid w:val="007629C4"/>
    <w:rsid w:val="00762A7D"/>
    <w:rsid w:val="00762BDB"/>
    <w:rsid w:val="0076365B"/>
    <w:rsid w:val="00763C50"/>
    <w:rsid w:val="007641C0"/>
    <w:rsid w:val="00767B51"/>
    <w:rsid w:val="00780F26"/>
    <w:rsid w:val="00781D17"/>
    <w:rsid w:val="00784B38"/>
    <w:rsid w:val="00786531"/>
    <w:rsid w:val="00790F6C"/>
    <w:rsid w:val="007913E8"/>
    <w:rsid w:val="00791E3B"/>
    <w:rsid w:val="00792314"/>
    <w:rsid w:val="007932F8"/>
    <w:rsid w:val="00793EE9"/>
    <w:rsid w:val="00795741"/>
    <w:rsid w:val="007962ED"/>
    <w:rsid w:val="00797E99"/>
    <w:rsid w:val="007A08BE"/>
    <w:rsid w:val="007A19A8"/>
    <w:rsid w:val="007A2F61"/>
    <w:rsid w:val="007A47A2"/>
    <w:rsid w:val="007A52DC"/>
    <w:rsid w:val="007A63A6"/>
    <w:rsid w:val="007A688C"/>
    <w:rsid w:val="007B03FA"/>
    <w:rsid w:val="007B2354"/>
    <w:rsid w:val="007B2743"/>
    <w:rsid w:val="007B3E18"/>
    <w:rsid w:val="007B3EC4"/>
    <w:rsid w:val="007B569D"/>
    <w:rsid w:val="007C1E9F"/>
    <w:rsid w:val="007C2F04"/>
    <w:rsid w:val="007C392F"/>
    <w:rsid w:val="007C6799"/>
    <w:rsid w:val="007D2B72"/>
    <w:rsid w:val="007D5DF7"/>
    <w:rsid w:val="007D61C2"/>
    <w:rsid w:val="007D7C38"/>
    <w:rsid w:val="007D7C6D"/>
    <w:rsid w:val="007E12AA"/>
    <w:rsid w:val="007E1E19"/>
    <w:rsid w:val="007F0D90"/>
    <w:rsid w:val="007F2879"/>
    <w:rsid w:val="007F351C"/>
    <w:rsid w:val="007F389C"/>
    <w:rsid w:val="007F46FE"/>
    <w:rsid w:val="0080006B"/>
    <w:rsid w:val="00801753"/>
    <w:rsid w:val="0080340B"/>
    <w:rsid w:val="00805497"/>
    <w:rsid w:val="00806686"/>
    <w:rsid w:val="008066DE"/>
    <w:rsid w:val="00806834"/>
    <w:rsid w:val="00806BD4"/>
    <w:rsid w:val="00807847"/>
    <w:rsid w:val="00815F7B"/>
    <w:rsid w:val="008164FD"/>
    <w:rsid w:val="00816AD1"/>
    <w:rsid w:val="008176DF"/>
    <w:rsid w:val="0082008F"/>
    <w:rsid w:val="0082308A"/>
    <w:rsid w:val="00823E53"/>
    <w:rsid w:val="00824DDC"/>
    <w:rsid w:val="0082527E"/>
    <w:rsid w:val="008253FE"/>
    <w:rsid w:val="00825D7D"/>
    <w:rsid w:val="00832367"/>
    <w:rsid w:val="0083240F"/>
    <w:rsid w:val="0083268D"/>
    <w:rsid w:val="008339FB"/>
    <w:rsid w:val="00833B17"/>
    <w:rsid w:val="00834A95"/>
    <w:rsid w:val="00836E1C"/>
    <w:rsid w:val="008408AC"/>
    <w:rsid w:val="00844AA4"/>
    <w:rsid w:val="00846AF8"/>
    <w:rsid w:val="00847593"/>
    <w:rsid w:val="00851A11"/>
    <w:rsid w:val="008534BF"/>
    <w:rsid w:val="00854C74"/>
    <w:rsid w:val="00855590"/>
    <w:rsid w:val="00857146"/>
    <w:rsid w:val="00862386"/>
    <w:rsid w:val="008638A5"/>
    <w:rsid w:val="008662EC"/>
    <w:rsid w:val="00870ECF"/>
    <w:rsid w:val="00873B09"/>
    <w:rsid w:val="00875CA0"/>
    <w:rsid w:val="00877948"/>
    <w:rsid w:val="008814DF"/>
    <w:rsid w:val="0088202D"/>
    <w:rsid w:val="008841AD"/>
    <w:rsid w:val="00885FE5"/>
    <w:rsid w:val="008866EB"/>
    <w:rsid w:val="00892E11"/>
    <w:rsid w:val="00892F2F"/>
    <w:rsid w:val="00895DA0"/>
    <w:rsid w:val="0089681C"/>
    <w:rsid w:val="008A1C43"/>
    <w:rsid w:val="008A2142"/>
    <w:rsid w:val="008A2540"/>
    <w:rsid w:val="008A32B6"/>
    <w:rsid w:val="008A3EEE"/>
    <w:rsid w:val="008A4E9C"/>
    <w:rsid w:val="008A61F9"/>
    <w:rsid w:val="008A66AA"/>
    <w:rsid w:val="008B116C"/>
    <w:rsid w:val="008B1BE0"/>
    <w:rsid w:val="008B223A"/>
    <w:rsid w:val="008B2568"/>
    <w:rsid w:val="008B4D38"/>
    <w:rsid w:val="008B72A4"/>
    <w:rsid w:val="008C0BC8"/>
    <w:rsid w:val="008C6F16"/>
    <w:rsid w:val="008C6F19"/>
    <w:rsid w:val="008D44BA"/>
    <w:rsid w:val="008D658C"/>
    <w:rsid w:val="008D720E"/>
    <w:rsid w:val="008E32D3"/>
    <w:rsid w:val="008E4341"/>
    <w:rsid w:val="008E45A6"/>
    <w:rsid w:val="008E4686"/>
    <w:rsid w:val="008E7965"/>
    <w:rsid w:val="008E7C51"/>
    <w:rsid w:val="008F1A2A"/>
    <w:rsid w:val="008F25CC"/>
    <w:rsid w:val="008F2FC6"/>
    <w:rsid w:val="008F3371"/>
    <w:rsid w:val="008F6816"/>
    <w:rsid w:val="008F773F"/>
    <w:rsid w:val="00901094"/>
    <w:rsid w:val="00904116"/>
    <w:rsid w:val="0090567D"/>
    <w:rsid w:val="00910B70"/>
    <w:rsid w:val="00912458"/>
    <w:rsid w:val="00912FF2"/>
    <w:rsid w:val="00913645"/>
    <w:rsid w:val="0091699A"/>
    <w:rsid w:val="00920BF8"/>
    <w:rsid w:val="00920D28"/>
    <w:rsid w:val="00921287"/>
    <w:rsid w:val="00921429"/>
    <w:rsid w:val="009235D6"/>
    <w:rsid w:val="009259E3"/>
    <w:rsid w:val="00925AA6"/>
    <w:rsid w:val="009269DD"/>
    <w:rsid w:val="00927288"/>
    <w:rsid w:val="0092755D"/>
    <w:rsid w:val="0093017F"/>
    <w:rsid w:val="009306A4"/>
    <w:rsid w:val="00931E1A"/>
    <w:rsid w:val="0093267C"/>
    <w:rsid w:val="00932752"/>
    <w:rsid w:val="00933052"/>
    <w:rsid w:val="00933BCF"/>
    <w:rsid w:val="009343C4"/>
    <w:rsid w:val="00941199"/>
    <w:rsid w:val="00945813"/>
    <w:rsid w:val="00946BE7"/>
    <w:rsid w:val="00947220"/>
    <w:rsid w:val="00950A64"/>
    <w:rsid w:val="00951A01"/>
    <w:rsid w:val="00953B94"/>
    <w:rsid w:val="00956255"/>
    <w:rsid w:val="00956937"/>
    <w:rsid w:val="00956DD5"/>
    <w:rsid w:val="00957AC2"/>
    <w:rsid w:val="00957C33"/>
    <w:rsid w:val="00957DD9"/>
    <w:rsid w:val="009611C1"/>
    <w:rsid w:val="00961550"/>
    <w:rsid w:val="00962196"/>
    <w:rsid w:val="009624D7"/>
    <w:rsid w:val="009631A2"/>
    <w:rsid w:val="00964F0B"/>
    <w:rsid w:val="00966E8B"/>
    <w:rsid w:val="00971E35"/>
    <w:rsid w:val="00972914"/>
    <w:rsid w:val="00973D8F"/>
    <w:rsid w:val="0097671A"/>
    <w:rsid w:val="009800D1"/>
    <w:rsid w:val="00981973"/>
    <w:rsid w:val="00982122"/>
    <w:rsid w:val="009824AD"/>
    <w:rsid w:val="009824EF"/>
    <w:rsid w:val="00983F25"/>
    <w:rsid w:val="00984635"/>
    <w:rsid w:val="00984BD0"/>
    <w:rsid w:val="0098649E"/>
    <w:rsid w:val="00987DED"/>
    <w:rsid w:val="00990022"/>
    <w:rsid w:val="00990AFF"/>
    <w:rsid w:val="00991083"/>
    <w:rsid w:val="009975E4"/>
    <w:rsid w:val="00997D44"/>
    <w:rsid w:val="009A178D"/>
    <w:rsid w:val="009A212E"/>
    <w:rsid w:val="009A5001"/>
    <w:rsid w:val="009A632C"/>
    <w:rsid w:val="009A6E83"/>
    <w:rsid w:val="009A7A96"/>
    <w:rsid w:val="009A7F39"/>
    <w:rsid w:val="009B424E"/>
    <w:rsid w:val="009B52D6"/>
    <w:rsid w:val="009B5E50"/>
    <w:rsid w:val="009B66CB"/>
    <w:rsid w:val="009B7E4A"/>
    <w:rsid w:val="009C0E11"/>
    <w:rsid w:val="009C19BA"/>
    <w:rsid w:val="009C2399"/>
    <w:rsid w:val="009C44D1"/>
    <w:rsid w:val="009C498B"/>
    <w:rsid w:val="009C4C02"/>
    <w:rsid w:val="009C7022"/>
    <w:rsid w:val="009D06AF"/>
    <w:rsid w:val="009D5D92"/>
    <w:rsid w:val="009D5E06"/>
    <w:rsid w:val="009D643E"/>
    <w:rsid w:val="009D71E8"/>
    <w:rsid w:val="009E0498"/>
    <w:rsid w:val="009E08A3"/>
    <w:rsid w:val="009E0C23"/>
    <w:rsid w:val="009E1956"/>
    <w:rsid w:val="009E2C6A"/>
    <w:rsid w:val="009E3557"/>
    <w:rsid w:val="009E62B8"/>
    <w:rsid w:val="009F0061"/>
    <w:rsid w:val="009F04A5"/>
    <w:rsid w:val="009F2E59"/>
    <w:rsid w:val="009F55FB"/>
    <w:rsid w:val="009F6534"/>
    <w:rsid w:val="009F690E"/>
    <w:rsid w:val="009F707A"/>
    <w:rsid w:val="009F7F5C"/>
    <w:rsid w:val="00A01979"/>
    <w:rsid w:val="00A02FF1"/>
    <w:rsid w:val="00A0348F"/>
    <w:rsid w:val="00A064F7"/>
    <w:rsid w:val="00A068D3"/>
    <w:rsid w:val="00A07F89"/>
    <w:rsid w:val="00A103F7"/>
    <w:rsid w:val="00A10E1E"/>
    <w:rsid w:val="00A1612E"/>
    <w:rsid w:val="00A16747"/>
    <w:rsid w:val="00A235A7"/>
    <w:rsid w:val="00A24C91"/>
    <w:rsid w:val="00A2566B"/>
    <w:rsid w:val="00A26FB9"/>
    <w:rsid w:val="00A301CB"/>
    <w:rsid w:val="00A31EEE"/>
    <w:rsid w:val="00A32AFD"/>
    <w:rsid w:val="00A35488"/>
    <w:rsid w:val="00A35E90"/>
    <w:rsid w:val="00A4095E"/>
    <w:rsid w:val="00A411D0"/>
    <w:rsid w:val="00A41941"/>
    <w:rsid w:val="00A4383E"/>
    <w:rsid w:val="00A44184"/>
    <w:rsid w:val="00A45DE1"/>
    <w:rsid w:val="00A4654A"/>
    <w:rsid w:val="00A46A48"/>
    <w:rsid w:val="00A50420"/>
    <w:rsid w:val="00A50F03"/>
    <w:rsid w:val="00A520FE"/>
    <w:rsid w:val="00A56B38"/>
    <w:rsid w:val="00A616A6"/>
    <w:rsid w:val="00A62EBD"/>
    <w:rsid w:val="00A665BC"/>
    <w:rsid w:val="00A70229"/>
    <w:rsid w:val="00A70492"/>
    <w:rsid w:val="00A70646"/>
    <w:rsid w:val="00A70A4F"/>
    <w:rsid w:val="00A72C09"/>
    <w:rsid w:val="00A72EE2"/>
    <w:rsid w:val="00A74B35"/>
    <w:rsid w:val="00A77799"/>
    <w:rsid w:val="00A77BF4"/>
    <w:rsid w:val="00A81F91"/>
    <w:rsid w:val="00A82767"/>
    <w:rsid w:val="00A84744"/>
    <w:rsid w:val="00A84C0E"/>
    <w:rsid w:val="00A90094"/>
    <w:rsid w:val="00A9032C"/>
    <w:rsid w:val="00A910D2"/>
    <w:rsid w:val="00A92EEA"/>
    <w:rsid w:val="00A94FAE"/>
    <w:rsid w:val="00A9577D"/>
    <w:rsid w:val="00A96EC8"/>
    <w:rsid w:val="00A972F1"/>
    <w:rsid w:val="00AA3430"/>
    <w:rsid w:val="00AA387B"/>
    <w:rsid w:val="00AA6ADB"/>
    <w:rsid w:val="00AA6C55"/>
    <w:rsid w:val="00AA7068"/>
    <w:rsid w:val="00AA7483"/>
    <w:rsid w:val="00AA776A"/>
    <w:rsid w:val="00AB0382"/>
    <w:rsid w:val="00AB0C35"/>
    <w:rsid w:val="00AB1107"/>
    <w:rsid w:val="00AB1467"/>
    <w:rsid w:val="00AB1476"/>
    <w:rsid w:val="00AB1C14"/>
    <w:rsid w:val="00AB49F0"/>
    <w:rsid w:val="00AB5817"/>
    <w:rsid w:val="00AC14C1"/>
    <w:rsid w:val="00AC22CE"/>
    <w:rsid w:val="00AC2ABF"/>
    <w:rsid w:val="00AC358F"/>
    <w:rsid w:val="00AC3796"/>
    <w:rsid w:val="00AC436F"/>
    <w:rsid w:val="00AC6A37"/>
    <w:rsid w:val="00AD346F"/>
    <w:rsid w:val="00AD49FD"/>
    <w:rsid w:val="00AD5885"/>
    <w:rsid w:val="00AE19C7"/>
    <w:rsid w:val="00AE20F5"/>
    <w:rsid w:val="00AE4D1E"/>
    <w:rsid w:val="00AE546C"/>
    <w:rsid w:val="00AE6272"/>
    <w:rsid w:val="00AE7252"/>
    <w:rsid w:val="00AF0648"/>
    <w:rsid w:val="00AF1973"/>
    <w:rsid w:val="00AF2B6D"/>
    <w:rsid w:val="00AF3235"/>
    <w:rsid w:val="00B003AF"/>
    <w:rsid w:val="00B007E6"/>
    <w:rsid w:val="00B01103"/>
    <w:rsid w:val="00B01F83"/>
    <w:rsid w:val="00B0571B"/>
    <w:rsid w:val="00B05B71"/>
    <w:rsid w:val="00B107DF"/>
    <w:rsid w:val="00B11FE8"/>
    <w:rsid w:val="00B1452D"/>
    <w:rsid w:val="00B14867"/>
    <w:rsid w:val="00B14CAB"/>
    <w:rsid w:val="00B14FC3"/>
    <w:rsid w:val="00B17304"/>
    <w:rsid w:val="00B21F83"/>
    <w:rsid w:val="00B247B9"/>
    <w:rsid w:val="00B27A21"/>
    <w:rsid w:val="00B3068D"/>
    <w:rsid w:val="00B306BC"/>
    <w:rsid w:val="00B32FF3"/>
    <w:rsid w:val="00B348A3"/>
    <w:rsid w:val="00B36DC6"/>
    <w:rsid w:val="00B40402"/>
    <w:rsid w:val="00B40D1E"/>
    <w:rsid w:val="00B42032"/>
    <w:rsid w:val="00B4242C"/>
    <w:rsid w:val="00B432A2"/>
    <w:rsid w:val="00B43750"/>
    <w:rsid w:val="00B43F8C"/>
    <w:rsid w:val="00B449E7"/>
    <w:rsid w:val="00B44C20"/>
    <w:rsid w:val="00B44FF1"/>
    <w:rsid w:val="00B45E13"/>
    <w:rsid w:val="00B46448"/>
    <w:rsid w:val="00B465D7"/>
    <w:rsid w:val="00B46941"/>
    <w:rsid w:val="00B46BD2"/>
    <w:rsid w:val="00B46CE2"/>
    <w:rsid w:val="00B50D8F"/>
    <w:rsid w:val="00B51345"/>
    <w:rsid w:val="00B51D9C"/>
    <w:rsid w:val="00B51FD1"/>
    <w:rsid w:val="00B53E05"/>
    <w:rsid w:val="00B54A5C"/>
    <w:rsid w:val="00B54E85"/>
    <w:rsid w:val="00B5508A"/>
    <w:rsid w:val="00B55778"/>
    <w:rsid w:val="00B55938"/>
    <w:rsid w:val="00B577A6"/>
    <w:rsid w:val="00B5792D"/>
    <w:rsid w:val="00B60053"/>
    <w:rsid w:val="00B602BF"/>
    <w:rsid w:val="00B612DA"/>
    <w:rsid w:val="00B646F1"/>
    <w:rsid w:val="00B648FD"/>
    <w:rsid w:val="00B64BAB"/>
    <w:rsid w:val="00B65B20"/>
    <w:rsid w:val="00B65F49"/>
    <w:rsid w:val="00B670C1"/>
    <w:rsid w:val="00B71D33"/>
    <w:rsid w:val="00B72C34"/>
    <w:rsid w:val="00B72C78"/>
    <w:rsid w:val="00B7342B"/>
    <w:rsid w:val="00B746C2"/>
    <w:rsid w:val="00B7486C"/>
    <w:rsid w:val="00B749BD"/>
    <w:rsid w:val="00B75668"/>
    <w:rsid w:val="00B76648"/>
    <w:rsid w:val="00B76D7B"/>
    <w:rsid w:val="00B77611"/>
    <w:rsid w:val="00B818DD"/>
    <w:rsid w:val="00B83E34"/>
    <w:rsid w:val="00B85988"/>
    <w:rsid w:val="00B865B8"/>
    <w:rsid w:val="00B872BD"/>
    <w:rsid w:val="00B878BB"/>
    <w:rsid w:val="00B87E35"/>
    <w:rsid w:val="00B90DB6"/>
    <w:rsid w:val="00B91993"/>
    <w:rsid w:val="00B91EA9"/>
    <w:rsid w:val="00B97E31"/>
    <w:rsid w:val="00BA08C8"/>
    <w:rsid w:val="00BA09F5"/>
    <w:rsid w:val="00BA3E66"/>
    <w:rsid w:val="00BA43E7"/>
    <w:rsid w:val="00BA49DF"/>
    <w:rsid w:val="00BA4A80"/>
    <w:rsid w:val="00BA75C0"/>
    <w:rsid w:val="00BB1B92"/>
    <w:rsid w:val="00BB338A"/>
    <w:rsid w:val="00BB553C"/>
    <w:rsid w:val="00BC0D46"/>
    <w:rsid w:val="00BC17B2"/>
    <w:rsid w:val="00BC2B7D"/>
    <w:rsid w:val="00BC35FA"/>
    <w:rsid w:val="00BC6983"/>
    <w:rsid w:val="00BC6CD4"/>
    <w:rsid w:val="00BC7487"/>
    <w:rsid w:val="00BD0BEC"/>
    <w:rsid w:val="00BD555B"/>
    <w:rsid w:val="00BD5F2F"/>
    <w:rsid w:val="00BD7333"/>
    <w:rsid w:val="00BD769E"/>
    <w:rsid w:val="00BD791D"/>
    <w:rsid w:val="00BE1519"/>
    <w:rsid w:val="00BE24A9"/>
    <w:rsid w:val="00BE3214"/>
    <w:rsid w:val="00BE4173"/>
    <w:rsid w:val="00BE66DC"/>
    <w:rsid w:val="00BE6B3E"/>
    <w:rsid w:val="00BE77A7"/>
    <w:rsid w:val="00BF086C"/>
    <w:rsid w:val="00BF0D16"/>
    <w:rsid w:val="00BF14E4"/>
    <w:rsid w:val="00BF26BC"/>
    <w:rsid w:val="00BF33CB"/>
    <w:rsid w:val="00BF5806"/>
    <w:rsid w:val="00BF5C73"/>
    <w:rsid w:val="00BF74F5"/>
    <w:rsid w:val="00C00B5F"/>
    <w:rsid w:val="00C014C4"/>
    <w:rsid w:val="00C024B3"/>
    <w:rsid w:val="00C05074"/>
    <w:rsid w:val="00C0515F"/>
    <w:rsid w:val="00C0588A"/>
    <w:rsid w:val="00C0669D"/>
    <w:rsid w:val="00C0670B"/>
    <w:rsid w:val="00C104D6"/>
    <w:rsid w:val="00C105C0"/>
    <w:rsid w:val="00C10A22"/>
    <w:rsid w:val="00C10D2C"/>
    <w:rsid w:val="00C11E20"/>
    <w:rsid w:val="00C1347F"/>
    <w:rsid w:val="00C136A5"/>
    <w:rsid w:val="00C15D63"/>
    <w:rsid w:val="00C16E5A"/>
    <w:rsid w:val="00C21319"/>
    <w:rsid w:val="00C225E9"/>
    <w:rsid w:val="00C24B89"/>
    <w:rsid w:val="00C25477"/>
    <w:rsid w:val="00C3034F"/>
    <w:rsid w:val="00C314F8"/>
    <w:rsid w:val="00C327D1"/>
    <w:rsid w:val="00C33223"/>
    <w:rsid w:val="00C33A1B"/>
    <w:rsid w:val="00C33BF5"/>
    <w:rsid w:val="00C34DAE"/>
    <w:rsid w:val="00C35609"/>
    <w:rsid w:val="00C356EB"/>
    <w:rsid w:val="00C35EE5"/>
    <w:rsid w:val="00C37043"/>
    <w:rsid w:val="00C40462"/>
    <w:rsid w:val="00C41016"/>
    <w:rsid w:val="00C41DE6"/>
    <w:rsid w:val="00C43010"/>
    <w:rsid w:val="00C4316F"/>
    <w:rsid w:val="00C43E1D"/>
    <w:rsid w:val="00C43E34"/>
    <w:rsid w:val="00C445F7"/>
    <w:rsid w:val="00C45427"/>
    <w:rsid w:val="00C45652"/>
    <w:rsid w:val="00C507E9"/>
    <w:rsid w:val="00C619CA"/>
    <w:rsid w:val="00C62C8F"/>
    <w:rsid w:val="00C641ED"/>
    <w:rsid w:val="00C65AF1"/>
    <w:rsid w:val="00C65B2C"/>
    <w:rsid w:val="00C66454"/>
    <w:rsid w:val="00C67115"/>
    <w:rsid w:val="00C673BE"/>
    <w:rsid w:val="00C708E8"/>
    <w:rsid w:val="00C716C5"/>
    <w:rsid w:val="00C721C2"/>
    <w:rsid w:val="00C75388"/>
    <w:rsid w:val="00C82BA5"/>
    <w:rsid w:val="00C82F03"/>
    <w:rsid w:val="00C833BA"/>
    <w:rsid w:val="00C8597C"/>
    <w:rsid w:val="00C862CC"/>
    <w:rsid w:val="00C9051F"/>
    <w:rsid w:val="00C916F6"/>
    <w:rsid w:val="00C9293F"/>
    <w:rsid w:val="00C93C7F"/>
    <w:rsid w:val="00C96AA2"/>
    <w:rsid w:val="00C978B0"/>
    <w:rsid w:val="00CA0237"/>
    <w:rsid w:val="00CA2439"/>
    <w:rsid w:val="00CA2520"/>
    <w:rsid w:val="00CA4658"/>
    <w:rsid w:val="00CA4749"/>
    <w:rsid w:val="00CA548D"/>
    <w:rsid w:val="00CA554D"/>
    <w:rsid w:val="00CA66BC"/>
    <w:rsid w:val="00CA78E8"/>
    <w:rsid w:val="00CA799C"/>
    <w:rsid w:val="00CB0A43"/>
    <w:rsid w:val="00CB18CE"/>
    <w:rsid w:val="00CB2D2E"/>
    <w:rsid w:val="00CB36B5"/>
    <w:rsid w:val="00CB55E1"/>
    <w:rsid w:val="00CB5C3A"/>
    <w:rsid w:val="00CB6238"/>
    <w:rsid w:val="00CC0223"/>
    <w:rsid w:val="00CC11A1"/>
    <w:rsid w:val="00CC3152"/>
    <w:rsid w:val="00CC38D1"/>
    <w:rsid w:val="00CC5EC8"/>
    <w:rsid w:val="00CC6AED"/>
    <w:rsid w:val="00CC6EE1"/>
    <w:rsid w:val="00CC71BA"/>
    <w:rsid w:val="00CD1A4A"/>
    <w:rsid w:val="00CD242B"/>
    <w:rsid w:val="00CD704D"/>
    <w:rsid w:val="00CD7634"/>
    <w:rsid w:val="00CD7F13"/>
    <w:rsid w:val="00CE3D2F"/>
    <w:rsid w:val="00CE56FD"/>
    <w:rsid w:val="00CF0A28"/>
    <w:rsid w:val="00CF0D17"/>
    <w:rsid w:val="00CF2960"/>
    <w:rsid w:val="00CF3B8F"/>
    <w:rsid w:val="00CF5183"/>
    <w:rsid w:val="00CF5FA7"/>
    <w:rsid w:val="00CF6441"/>
    <w:rsid w:val="00CF69E0"/>
    <w:rsid w:val="00CF793F"/>
    <w:rsid w:val="00D01B11"/>
    <w:rsid w:val="00D036E2"/>
    <w:rsid w:val="00D03F17"/>
    <w:rsid w:val="00D0401E"/>
    <w:rsid w:val="00D07BAA"/>
    <w:rsid w:val="00D10869"/>
    <w:rsid w:val="00D11651"/>
    <w:rsid w:val="00D11C8C"/>
    <w:rsid w:val="00D123DF"/>
    <w:rsid w:val="00D12C2B"/>
    <w:rsid w:val="00D1449E"/>
    <w:rsid w:val="00D14A24"/>
    <w:rsid w:val="00D15744"/>
    <w:rsid w:val="00D16C4B"/>
    <w:rsid w:val="00D16F3C"/>
    <w:rsid w:val="00D170F0"/>
    <w:rsid w:val="00D21544"/>
    <w:rsid w:val="00D26808"/>
    <w:rsid w:val="00D2680B"/>
    <w:rsid w:val="00D31331"/>
    <w:rsid w:val="00D31C9F"/>
    <w:rsid w:val="00D32C44"/>
    <w:rsid w:val="00D33FE5"/>
    <w:rsid w:val="00D34AEE"/>
    <w:rsid w:val="00D3512A"/>
    <w:rsid w:val="00D36FC3"/>
    <w:rsid w:val="00D408E0"/>
    <w:rsid w:val="00D414EB"/>
    <w:rsid w:val="00D42582"/>
    <w:rsid w:val="00D477CE"/>
    <w:rsid w:val="00D5081A"/>
    <w:rsid w:val="00D52DB0"/>
    <w:rsid w:val="00D541C5"/>
    <w:rsid w:val="00D542F9"/>
    <w:rsid w:val="00D542FD"/>
    <w:rsid w:val="00D54418"/>
    <w:rsid w:val="00D553F6"/>
    <w:rsid w:val="00D5698D"/>
    <w:rsid w:val="00D63421"/>
    <w:rsid w:val="00D63655"/>
    <w:rsid w:val="00D6365A"/>
    <w:rsid w:val="00D6371B"/>
    <w:rsid w:val="00D63EFC"/>
    <w:rsid w:val="00D661C2"/>
    <w:rsid w:val="00D6629A"/>
    <w:rsid w:val="00D67665"/>
    <w:rsid w:val="00D70B98"/>
    <w:rsid w:val="00D72A7E"/>
    <w:rsid w:val="00D74F12"/>
    <w:rsid w:val="00D75FBF"/>
    <w:rsid w:val="00D76206"/>
    <w:rsid w:val="00D762E8"/>
    <w:rsid w:val="00D8099F"/>
    <w:rsid w:val="00D81417"/>
    <w:rsid w:val="00D834C2"/>
    <w:rsid w:val="00D83692"/>
    <w:rsid w:val="00D83F79"/>
    <w:rsid w:val="00D84808"/>
    <w:rsid w:val="00D84DF4"/>
    <w:rsid w:val="00D86CF0"/>
    <w:rsid w:val="00D90017"/>
    <w:rsid w:val="00D901C0"/>
    <w:rsid w:val="00D90FAE"/>
    <w:rsid w:val="00D91357"/>
    <w:rsid w:val="00D92932"/>
    <w:rsid w:val="00D931F5"/>
    <w:rsid w:val="00D93FE6"/>
    <w:rsid w:val="00D945E4"/>
    <w:rsid w:val="00D94835"/>
    <w:rsid w:val="00D95102"/>
    <w:rsid w:val="00D9640A"/>
    <w:rsid w:val="00DA341E"/>
    <w:rsid w:val="00DA4339"/>
    <w:rsid w:val="00DA4413"/>
    <w:rsid w:val="00DA5CD1"/>
    <w:rsid w:val="00DB0E9E"/>
    <w:rsid w:val="00DB1906"/>
    <w:rsid w:val="00DB2691"/>
    <w:rsid w:val="00DB4EDB"/>
    <w:rsid w:val="00DC559C"/>
    <w:rsid w:val="00DC7A40"/>
    <w:rsid w:val="00DD2934"/>
    <w:rsid w:val="00DD2B21"/>
    <w:rsid w:val="00DD6066"/>
    <w:rsid w:val="00DD606B"/>
    <w:rsid w:val="00DE0480"/>
    <w:rsid w:val="00DE1B03"/>
    <w:rsid w:val="00DE2FE7"/>
    <w:rsid w:val="00DE384D"/>
    <w:rsid w:val="00DE3CC0"/>
    <w:rsid w:val="00DE44FC"/>
    <w:rsid w:val="00DE5794"/>
    <w:rsid w:val="00DE5AE5"/>
    <w:rsid w:val="00DE5D05"/>
    <w:rsid w:val="00DE74FD"/>
    <w:rsid w:val="00DF02AA"/>
    <w:rsid w:val="00DF3219"/>
    <w:rsid w:val="00DF6E5A"/>
    <w:rsid w:val="00E012E4"/>
    <w:rsid w:val="00E01DC7"/>
    <w:rsid w:val="00E01E9F"/>
    <w:rsid w:val="00E04459"/>
    <w:rsid w:val="00E06C95"/>
    <w:rsid w:val="00E07320"/>
    <w:rsid w:val="00E11449"/>
    <w:rsid w:val="00E11D2C"/>
    <w:rsid w:val="00E12A03"/>
    <w:rsid w:val="00E12A06"/>
    <w:rsid w:val="00E13E53"/>
    <w:rsid w:val="00E16260"/>
    <w:rsid w:val="00E1653D"/>
    <w:rsid w:val="00E21EB2"/>
    <w:rsid w:val="00E22ECB"/>
    <w:rsid w:val="00E24579"/>
    <w:rsid w:val="00E246DC"/>
    <w:rsid w:val="00E24883"/>
    <w:rsid w:val="00E24CB4"/>
    <w:rsid w:val="00E30CEE"/>
    <w:rsid w:val="00E322A7"/>
    <w:rsid w:val="00E32B4B"/>
    <w:rsid w:val="00E332AE"/>
    <w:rsid w:val="00E35067"/>
    <w:rsid w:val="00E35D11"/>
    <w:rsid w:val="00E35F9B"/>
    <w:rsid w:val="00E3637F"/>
    <w:rsid w:val="00E41F75"/>
    <w:rsid w:val="00E4454B"/>
    <w:rsid w:val="00E45C3B"/>
    <w:rsid w:val="00E46301"/>
    <w:rsid w:val="00E4668F"/>
    <w:rsid w:val="00E46E16"/>
    <w:rsid w:val="00E50860"/>
    <w:rsid w:val="00E52225"/>
    <w:rsid w:val="00E53813"/>
    <w:rsid w:val="00E54D67"/>
    <w:rsid w:val="00E54DED"/>
    <w:rsid w:val="00E55281"/>
    <w:rsid w:val="00E55FF8"/>
    <w:rsid w:val="00E60C69"/>
    <w:rsid w:val="00E61C0D"/>
    <w:rsid w:val="00E65193"/>
    <w:rsid w:val="00E6572B"/>
    <w:rsid w:val="00E65799"/>
    <w:rsid w:val="00E6606F"/>
    <w:rsid w:val="00E66558"/>
    <w:rsid w:val="00E70B0F"/>
    <w:rsid w:val="00E70F33"/>
    <w:rsid w:val="00E70FA8"/>
    <w:rsid w:val="00E7104D"/>
    <w:rsid w:val="00E71EAF"/>
    <w:rsid w:val="00E7617D"/>
    <w:rsid w:val="00E7629A"/>
    <w:rsid w:val="00E7639E"/>
    <w:rsid w:val="00E76C04"/>
    <w:rsid w:val="00E76C37"/>
    <w:rsid w:val="00E77E32"/>
    <w:rsid w:val="00E82DFA"/>
    <w:rsid w:val="00E83A22"/>
    <w:rsid w:val="00E86031"/>
    <w:rsid w:val="00E866A3"/>
    <w:rsid w:val="00E87CF3"/>
    <w:rsid w:val="00E93C15"/>
    <w:rsid w:val="00E959F7"/>
    <w:rsid w:val="00E977ED"/>
    <w:rsid w:val="00E97E75"/>
    <w:rsid w:val="00EA146D"/>
    <w:rsid w:val="00EA20E6"/>
    <w:rsid w:val="00EA6F54"/>
    <w:rsid w:val="00EA705E"/>
    <w:rsid w:val="00EB070A"/>
    <w:rsid w:val="00EB2599"/>
    <w:rsid w:val="00EB57B7"/>
    <w:rsid w:val="00EB7EFB"/>
    <w:rsid w:val="00EC3358"/>
    <w:rsid w:val="00EC3AA8"/>
    <w:rsid w:val="00EC4B9E"/>
    <w:rsid w:val="00EC4F17"/>
    <w:rsid w:val="00EC53DB"/>
    <w:rsid w:val="00ED0FA7"/>
    <w:rsid w:val="00ED37A5"/>
    <w:rsid w:val="00ED4535"/>
    <w:rsid w:val="00ED6F3A"/>
    <w:rsid w:val="00ED7946"/>
    <w:rsid w:val="00EE0D43"/>
    <w:rsid w:val="00EE1AED"/>
    <w:rsid w:val="00EE2A51"/>
    <w:rsid w:val="00EE2ACC"/>
    <w:rsid w:val="00EE2BB4"/>
    <w:rsid w:val="00EE4A00"/>
    <w:rsid w:val="00EE5EBD"/>
    <w:rsid w:val="00EE6F1D"/>
    <w:rsid w:val="00EF0609"/>
    <w:rsid w:val="00EF333C"/>
    <w:rsid w:val="00EF3341"/>
    <w:rsid w:val="00EF3CBA"/>
    <w:rsid w:val="00EF5D73"/>
    <w:rsid w:val="00EF78C9"/>
    <w:rsid w:val="00F00104"/>
    <w:rsid w:val="00F02A37"/>
    <w:rsid w:val="00F032EC"/>
    <w:rsid w:val="00F07796"/>
    <w:rsid w:val="00F112CF"/>
    <w:rsid w:val="00F12F57"/>
    <w:rsid w:val="00F14530"/>
    <w:rsid w:val="00F14760"/>
    <w:rsid w:val="00F156B2"/>
    <w:rsid w:val="00F15DD4"/>
    <w:rsid w:val="00F15FC8"/>
    <w:rsid w:val="00F169DF"/>
    <w:rsid w:val="00F20958"/>
    <w:rsid w:val="00F212F1"/>
    <w:rsid w:val="00F22A55"/>
    <w:rsid w:val="00F2633E"/>
    <w:rsid w:val="00F26A57"/>
    <w:rsid w:val="00F26C8C"/>
    <w:rsid w:val="00F27EFD"/>
    <w:rsid w:val="00F300FE"/>
    <w:rsid w:val="00F305E4"/>
    <w:rsid w:val="00F30D37"/>
    <w:rsid w:val="00F32393"/>
    <w:rsid w:val="00F32D06"/>
    <w:rsid w:val="00F33799"/>
    <w:rsid w:val="00F40B5C"/>
    <w:rsid w:val="00F40E7C"/>
    <w:rsid w:val="00F414C3"/>
    <w:rsid w:val="00F4292F"/>
    <w:rsid w:val="00F4397A"/>
    <w:rsid w:val="00F5114E"/>
    <w:rsid w:val="00F5429E"/>
    <w:rsid w:val="00F550C4"/>
    <w:rsid w:val="00F5546B"/>
    <w:rsid w:val="00F60AFD"/>
    <w:rsid w:val="00F618A2"/>
    <w:rsid w:val="00F618FF"/>
    <w:rsid w:val="00F61C46"/>
    <w:rsid w:val="00F62634"/>
    <w:rsid w:val="00F6398B"/>
    <w:rsid w:val="00F65BE1"/>
    <w:rsid w:val="00F67416"/>
    <w:rsid w:val="00F67DB9"/>
    <w:rsid w:val="00F70B61"/>
    <w:rsid w:val="00F720DB"/>
    <w:rsid w:val="00F72AFF"/>
    <w:rsid w:val="00F73708"/>
    <w:rsid w:val="00F73E51"/>
    <w:rsid w:val="00F749C4"/>
    <w:rsid w:val="00F76E29"/>
    <w:rsid w:val="00F771C4"/>
    <w:rsid w:val="00F779A2"/>
    <w:rsid w:val="00F8067E"/>
    <w:rsid w:val="00F8187C"/>
    <w:rsid w:val="00F82848"/>
    <w:rsid w:val="00F82E59"/>
    <w:rsid w:val="00F8459A"/>
    <w:rsid w:val="00F84C31"/>
    <w:rsid w:val="00F85FC6"/>
    <w:rsid w:val="00F866C8"/>
    <w:rsid w:val="00F879E5"/>
    <w:rsid w:val="00F90179"/>
    <w:rsid w:val="00F90A8B"/>
    <w:rsid w:val="00F93F1E"/>
    <w:rsid w:val="00F97FC6"/>
    <w:rsid w:val="00FA0A84"/>
    <w:rsid w:val="00FA25F3"/>
    <w:rsid w:val="00FA4077"/>
    <w:rsid w:val="00FA4D77"/>
    <w:rsid w:val="00FA6019"/>
    <w:rsid w:val="00FB2593"/>
    <w:rsid w:val="00FB319D"/>
    <w:rsid w:val="00FB34F4"/>
    <w:rsid w:val="00FB3C97"/>
    <w:rsid w:val="00FB4A58"/>
    <w:rsid w:val="00FC0FFB"/>
    <w:rsid w:val="00FC15A6"/>
    <w:rsid w:val="00FC2C3D"/>
    <w:rsid w:val="00FC5B8F"/>
    <w:rsid w:val="00FC5F47"/>
    <w:rsid w:val="00FD2A34"/>
    <w:rsid w:val="00FD2CA8"/>
    <w:rsid w:val="00FD7FCC"/>
    <w:rsid w:val="00FE0C5B"/>
    <w:rsid w:val="00FE4911"/>
    <w:rsid w:val="00FE61F3"/>
    <w:rsid w:val="00FE793C"/>
    <w:rsid w:val="00FF0B5E"/>
    <w:rsid w:val="00FF19A7"/>
    <w:rsid w:val="00FF47FB"/>
    <w:rsid w:val="00FF6903"/>
    <w:rsid w:val="00FF6966"/>
    <w:rsid w:val="00FF6C5D"/>
    <w:rsid w:val="00FF75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CDA7C027-9175-46DE-AB90-2A1ACB0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E83"/>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147A0A"/>
  </w:style>
  <w:style w:type="character" w:customStyle="1" w:styleId="eop">
    <w:name w:val="eop"/>
    <w:basedOn w:val="DefaultParagraphFont"/>
    <w:rsid w:val="00147A0A"/>
  </w:style>
  <w:style w:type="table" w:styleId="TableGrid">
    <w:name w:val="Table Grid"/>
    <w:basedOn w:val="TableNormal"/>
    <w:uiPriority w:val="59"/>
    <w:rsid w:val="00C708E8"/>
    <w:pPr>
      <w:autoSpaceDN/>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0">
      <w:bodyDiv w:val="1"/>
      <w:marLeft w:val="0"/>
      <w:marRight w:val="0"/>
      <w:marTop w:val="0"/>
      <w:marBottom w:val="0"/>
      <w:divBdr>
        <w:top w:val="none" w:sz="0" w:space="0" w:color="auto"/>
        <w:left w:val="none" w:sz="0" w:space="0" w:color="auto"/>
        <w:bottom w:val="none" w:sz="0" w:space="0" w:color="auto"/>
        <w:right w:val="none" w:sz="0" w:space="0" w:color="auto"/>
      </w:divBdr>
    </w:div>
    <w:div w:id="825710314">
      <w:bodyDiv w:val="1"/>
      <w:marLeft w:val="0"/>
      <w:marRight w:val="0"/>
      <w:marTop w:val="0"/>
      <w:marBottom w:val="0"/>
      <w:divBdr>
        <w:top w:val="none" w:sz="0" w:space="0" w:color="auto"/>
        <w:left w:val="none" w:sz="0" w:space="0" w:color="auto"/>
        <w:bottom w:val="none" w:sz="0" w:space="0" w:color="auto"/>
        <w:right w:val="none" w:sz="0" w:space="0" w:color="auto"/>
      </w:divBdr>
    </w:div>
    <w:div w:id="1365598327">
      <w:bodyDiv w:val="1"/>
      <w:marLeft w:val="0"/>
      <w:marRight w:val="0"/>
      <w:marTop w:val="0"/>
      <w:marBottom w:val="0"/>
      <w:divBdr>
        <w:top w:val="none" w:sz="0" w:space="0" w:color="auto"/>
        <w:left w:val="none" w:sz="0" w:space="0" w:color="auto"/>
        <w:bottom w:val="none" w:sz="0" w:space="0" w:color="auto"/>
        <w:right w:val="none" w:sz="0" w:space="0" w:color="auto"/>
      </w:divBdr>
    </w:div>
    <w:div w:id="1986398192">
      <w:bodyDiv w:val="1"/>
      <w:marLeft w:val="0"/>
      <w:marRight w:val="0"/>
      <w:marTop w:val="0"/>
      <w:marBottom w:val="0"/>
      <w:divBdr>
        <w:top w:val="none" w:sz="0" w:space="0" w:color="auto"/>
        <w:left w:val="none" w:sz="0" w:space="0" w:color="auto"/>
        <w:bottom w:val="none" w:sz="0" w:space="0" w:color="auto"/>
        <w:right w:val="none" w:sz="0" w:space="0" w:color="auto"/>
      </w:divBdr>
    </w:div>
    <w:div w:id="2063362239">
      <w:bodyDiv w:val="1"/>
      <w:marLeft w:val="0"/>
      <w:marRight w:val="0"/>
      <w:marTop w:val="0"/>
      <w:marBottom w:val="0"/>
      <w:divBdr>
        <w:top w:val="none" w:sz="0" w:space="0" w:color="auto"/>
        <w:left w:val="none" w:sz="0" w:space="0" w:color="auto"/>
        <w:bottom w:val="none" w:sz="0" w:space="0" w:color="auto"/>
        <w:right w:val="none" w:sz="0" w:space="0" w:color="auto"/>
      </w:divBdr>
    </w:div>
    <w:div w:id="209847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3351-5390-4EEF-99B3-C49BD5A2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81482-DF4A-409B-A443-DE808E2558F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65edd37-60b1-4ef0-a8b9-99e1686f0dda"/>
    <ds:schemaRef ds:uri="fc4813a7-6522-4e15-89a2-8c9508ac84b8"/>
    <ds:schemaRef ds:uri="http://www.w3.org/XML/1998/namespace"/>
  </ds:schemaRefs>
</ds:datastoreItem>
</file>

<file path=customXml/itemProps3.xml><?xml version="1.0" encoding="utf-8"?>
<ds:datastoreItem xmlns:ds="http://schemas.openxmlformats.org/officeDocument/2006/customXml" ds:itemID="{F346C419-786F-4A69-B30A-4E8BC9AA2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1544</Words>
  <Characters>8804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Pupil premium example statement (secondary)</vt:lpstr>
    </vt:vector>
  </TitlesOfParts>
  <Company/>
  <LinksUpToDate>false</LinksUpToDate>
  <CharactersWithSpaces>10328</CharactersWithSpaces>
  <SharedDoc>false</SharedDoc>
  <HLinks>
    <vt:vector size="108"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2424933</vt:i4>
      </vt:variant>
      <vt:variant>
        <vt:i4>48</vt:i4>
      </vt:variant>
      <vt:variant>
        <vt:i4>0</vt:i4>
      </vt:variant>
      <vt:variant>
        <vt:i4>5</vt:i4>
      </vt:variant>
      <vt:variant>
        <vt:lpwstr>https://www.gov.uk/guidance/mental-health-and-wellbeing-support-in-schools-and-colleges</vt:lpwstr>
      </vt:variant>
      <vt:variant>
        <vt:lpwstr>MHST</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5046364</vt:i4>
      </vt:variant>
      <vt:variant>
        <vt:i4>39</vt:i4>
      </vt:variant>
      <vt:variant>
        <vt:i4>0</vt:i4>
      </vt:variant>
      <vt:variant>
        <vt:i4>5</vt:i4>
      </vt:variant>
      <vt:variant>
        <vt:lpwstr>https://www.eif.org.uk/report/adolescent-mental-health-a-systematic-review-on-the-effectiveness-of-school-based-interventions</vt:lpwstr>
      </vt:variant>
      <vt:variant>
        <vt:lpwstr/>
      </vt:variant>
      <vt:variant>
        <vt:i4>5505110</vt:i4>
      </vt:variant>
      <vt:variant>
        <vt:i4>36</vt:i4>
      </vt:variant>
      <vt:variant>
        <vt:i4>0</vt:i4>
      </vt:variant>
      <vt:variant>
        <vt:i4>5</vt:i4>
      </vt:variant>
      <vt:variant>
        <vt:lpwstr>https://youthendowmentfund.org.uk/toolkit/cognitive-behavioural-therapy/</vt:lpwstr>
      </vt:variant>
      <vt:variant>
        <vt:lpwstr/>
      </vt:variant>
      <vt:variant>
        <vt:i4>5898269</vt:i4>
      </vt:variant>
      <vt:variant>
        <vt:i4>33</vt:i4>
      </vt:variant>
      <vt:variant>
        <vt:i4>0</vt:i4>
      </vt:variant>
      <vt:variant>
        <vt:i4>5</vt:i4>
      </vt:variant>
      <vt:variant>
        <vt:lpwstr>https://educationendowmentfoundation.org.uk/projects-and-evaluation/projects/national-school-breakfast-programme</vt:lpwstr>
      </vt:variant>
      <vt:variant>
        <vt:lpwstr/>
      </vt:variant>
      <vt:variant>
        <vt:i4>8126581</vt:i4>
      </vt:variant>
      <vt:variant>
        <vt:i4>30</vt:i4>
      </vt:variant>
      <vt:variant>
        <vt:i4>0</vt:i4>
      </vt:variant>
      <vt:variant>
        <vt:i4>5</vt:i4>
      </vt:variant>
      <vt:variant>
        <vt:lpwstr>https://www.gov.uk/guidance/breakfast-clubs-programme-2021-2023</vt:lpwstr>
      </vt:variant>
      <vt:variant>
        <vt:lpwstr/>
      </vt:variant>
      <vt:variant>
        <vt:i4>1835075</vt:i4>
      </vt:variant>
      <vt:variant>
        <vt:i4>27</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24</vt:i4>
      </vt:variant>
      <vt:variant>
        <vt:i4>0</vt:i4>
      </vt:variant>
      <vt:variant>
        <vt:i4>5</vt:i4>
      </vt:variant>
      <vt:variant>
        <vt:lpwstr>https://educationendowmentfoundation.org.uk/education-evidence/teaching-learning-toolkit/one-to-one-tuition</vt:lpwstr>
      </vt:variant>
      <vt:variant>
        <vt:lpwstr/>
      </vt:variant>
      <vt:variant>
        <vt:i4>3670061</vt:i4>
      </vt:variant>
      <vt:variant>
        <vt:i4>21</vt:i4>
      </vt:variant>
      <vt:variant>
        <vt:i4>0</vt:i4>
      </vt:variant>
      <vt:variant>
        <vt:i4>5</vt:i4>
      </vt:variant>
      <vt:variant>
        <vt:lpwstr>https://educationendowmentfoundation.org.uk/evidence-summaries/teaching-learning-toolkit/reading-comprehension-strategies/</vt:lpwstr>
      </vt:variant>
      <vt:variant>
        <vt:lpwstr/>
      </vt:variant>
      <vt:variant>
        <vt:i4>1966095</vt:i4>
      </vt:variant>
      <vt:variant>
        <vt:i4>18</vt:i4>
      </vt:variant>
      <vt:variant>
        <vt:i4>0</vt:i4>
      </vt:variant>
      <vt:variant>
        <vt:i4>5</vt:i4>
      </vt:variant>
      <vt:variant>
        <vt:lpwstr>https://www.oup.com.cn/test/word-gap.pdf</vt:lpwstr>
      </vt:variant>
      <vt:variant>
        <vt:lpwstr/>
      </vt:variant>
      <vt:variant>
        <vt:i4>2752637</vt:i4>
      </vt:variant>
      <vt:variant>
        <vt:i4>15</vt:i4>
      </vt:variant>
      <vt:variant>
        <vt:i4>0</vt:i4>
      </vt:variant>
      <vt:variant>
        <vt:i4>5</vt:i4>
      </vt:variant>
      <vt:variant>
        <vt:lpwstr>https://d2tic4wvo1iusb.cloudfront.net/guidance-reports/improving-literacy-in-secondary-schools/EEF_KS3_KS4_LITERACY_GUIDANCE.pdf</vt:lpwstr>
      </vt:variant>
      <vt:variant>
        <vt:lpwstr/>
      </vt:variant>
      <vt:variant>
        <vt:i4>5046273</vt:i4>
      </vt:variant>
      <vt:variant>
        <vt:i4>12</vt:i4>
      </vt:variant>
      <vt:variant>
        <vt:i4>0</vt:i4>
      </vt:variant>
      <vt:variant>
        <vt:i4>5</vt:i4>
      </vt:variant>
      <vt:variant>
        <vt:lpwstr>https://educationendowmentfoundation.org.uk/public/files/Publications/Maths/KS2_KS3_Maths_Guidance_2017.pdf</vt:lpwstr>
      </vt:variant>
      <vt:variant>
        <vt:lpwstr/>
      </vt:variant>
      <vt:variant>
        <vt:i4>8192121</vt:i4>
      </vt:variant>
      <vt:variant>
        <vt:i4>9</vt:i4>
      </vt:variant>
      <vt:variant>
        <vt:i4>0</vt:i4>
      </vt:variant>
      <vt:variant>
        <vt:i4>5</vt:i4>
      </vt:variant>
      <vt:variant>
        <vt:lpwstr>https://www.gov.uk/government/publications/teaching-mathematics-at-key-stage-3</vt:lpwstr>
      </vt:variant>
      <vt:variant>
        <vt:lpwstr/>
      </vt:variant>
      <vt:variant>
        <vt:i4>917508</vt:i4>
      </vt:variant>
      <vt:variant>
        <vt:i4>6</vt:i4>
      </vt:variant>
      <vt:variant>
        <vt:i4>0</vt:i4>
      </vt:variant>
      <vt:variant>
        <vt:i4>5</vt:i4>
      </vt:variant>
      <vt:variant>
        <vt:lpwstr>https://educationendowmentfoundation.org.uk/evidence-summaries/teaching-learning-toolkit/meta-cognition-and-self-regulation/</vt:lpwstr>
      </vt:variant>
      <vt:variant>
        <vt:lpwstr/>
      </vt:variant>
      <vt:variant>
        <vt:i4>10</vt:i4>
      </vt:variant>
      <vt:variant>
        <vt:i4>3</vt:i4>
      </vt:variant>
      <vt:variant>
        <vt:i4>0</vt:i4>
      </vt:variant>
      <vt:variant>
        <vt:i4>5</vt:i4>
      </vt:variant>
      <vt:variant>
        <vt:lpwstr>https://educationendowmentfoundation.org.uk/tools/assessing-and-monitoring-pupil-progress/testing/standardised-tests/</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(secondary)</dc:title>
  <dc:subject/>
  <dc:creator>Publishing.TEAM@education.gsi.gov.uk</dc:creator>
  <cp:keywords/>
  <dc:description>Master-ET-v3.8</dc:description>
  <cp:lastModifiedBy>Georgia Oxley</cp:lastModifiedBy>
  <cp:revision>2</cp:revision>
  <cp:lastPrinted>2022-04-25T06:26:00Z</cp:lastPrinted>
  <dcterms:created xsi:type="dcterms:W3CDTF">2022-12-13T16:21:00Z</dcterms:created>
  <dcterms:modified xsi:type="dcterms:W3CDTF">2022-12-13T16:21:00Z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